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3291"/>
        <w:gridCol w:w="109"/>
        <w:gridCol w:w="3180"/>
        <w:gridCol w:w="25"/>
        <w:gridCol w:w="2893"/>
      </w:tblGrid>
      <w:tr w:rsidR="00936A94" w:rsidRPr="00704573" w:rsidTr="00936A94">
        <w:tc>
          <w:tcPr>
            <w:tcW w:w="3291" w:type="dxa"/>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936A94" w:rsidRPr="00704573" w:rsidRDefault="00936A94" w:rsidP="00A324F6">
            <w:pPr>
              <w:spacing w:after="0" w:line="240" w:lineRule="auto"/>
              <w:ind w:right="-284"/>
              <w:jc w:val="center"/>
              <w:rPr>
                <w:rFonts w:ascii="Times New Roman" w:eastAsia="Calibri" w:hAnsi="Times New Roman" w:cs="Times New Roman"/>
                <w:sz w:val="28"/>
                <w:szCs w:val="28"/>
                <w:lang w:val="uk-UA"/>
              </w:rPr>
            </w:pPr>
            <w:r w:rsidRPr="00704573">
              <w:rPr>
                <w:rFonts w:ascii="Calibri" w:eastAsia="Calibri" w:hAnsi="Calibri" w:cs="Times New Roman"/>
                <w:noProof/>
                <w:sz w:val="19"/>
                <w:lang w:eastAsia="ru-RU"/>
              </w:rPr>
              <w:drawing>
                <wp:inline distT="0" distB="0" distL="0" distR="0" wp14:anchorId="35F7349A" wp14:editId="67A9CFC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2893" w:type="dxa"/>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r>
      <w:tr w:rsidR="00936A94" w:rsidRPr="00704573" w:rsidTr="00936A94">
        <w:tc>
          <w:tcPr>
            <w:tcW w:w="9498" w:type="dxa"/>
            <w:gridSpan w:val="5"/>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r>
      <w:tr w:rsidR="00936A94" w:rsidRPr="00704573" w:rsidTr="00936A94">
        <w:tc>
          <w:tcPr>
            <w:tcW w:w="9498" w:type="dxa"/>
            <w:gridSpan w:val="5"/>
            <w:shd w:val="clear" w:color="auto" w:fill="auto"/>
            <w:hideMark/>
          </w:tcPr>
          <w:p w:rsidR="00936A94" w:rsidRPr="00704573" w:rsidRDefault="00936A94" w:rsidP="00A324F6">
            <w:pPr>
              <w:spacing w:after="100" w:afterAutospacing="1" w:line="276" w:lineRule="auto"/>
              <w:ind w:right="-284"/>
              <w:jc w:val="center"/>
              <w:rPr>
                <w:rFonts w:ascii="Times New Roman" w:eastAsia="Calibri" w:hAnsi="Times New Roman" w:cs="Times New Roman"/>
                <w:kern w:val="28"/>
                <w:sz w:val="32"/>
                <w:szCs w:val="32"/>
                <w:lang w:val="uk-UA"/>
              </w:rPr>
            </w:pPr>
            <w:r w:rsidRPr="00704573">
              <w:rPr>
                <w:rFonts w:ascii="Times New Roman" w:eastAsia="Calibri" w:hAnsi="Times New Roman" w:cs="Times New Roman"/>
                <w:bCs/>
                <w:kern w:val="28"/>
                <w:sz w:val="36"/>
                <w:szCs w:val="32"/>
                <w:lang w:val="uk-UA"/>
              </w:rPr>
              <w:t xml:space="preserve">КВАЛІФІКАЦІЙНО-ДИСЦИПЛІНАРНА </w:t>
            </w:r>
            <w:r w:rsidRPr="00704573">
              <w:rPr>
                <w:rFonts w:ascii="Times New Roman" w:eastAsia="Calibri" w:hAnsi="Times New Roman" w:cs="Times New Roman"/>
                <w:bCs/>
                <w:kern w:val="28"/>
                <w:sz w:val="36"/>
                <w:szCs w:val="32"/>
                <w:lang w:val="uk-UA"/>
              </w:rPr>
              <w:br/>
              <w:t>КОМІСІЯ ПРОКУРОРІВ</w:t>
            </w:r>
          </w:p>
        </w:tc>
      </w:tr>
      <w:tr w:rsidR="00936A94" w:rsidRPr="00704573" w:rsidTr="00936A94">
        <w:tc>
          <w:tcPr>
            <w:tcW w:w="9498" w:type="dxa"/>
            <w:gridSpan w:val="5"/>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r>
      <w:tr w:rsidR="00936A94" w:rsidRPr="00704573" w:rsidTr="00936A94">
        <w:tc>
          <w:tcPr>
            <w:tcW w:w="3400" w:type="dxa"/>
            <w:gridSpan w:val="2"/>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936A94" w:rsidRPr="00704573" w:rsidRDefault="00936A94" w:rsidP="00A324F6">
            <w:pPr>
              <w:spacing w:after="0" w:line="240" w:lineRule="auto"/>
              <w:ind w:right="-284"/>
              <w:jc w:val="center"/>
              <w:rPr>
                <w:rFonts w:ascii="Times New Roman" w:eastAsia="Calibri" w:hAnsi="Times New Roman" w:cs="Times New Roman"/>
                <w:b/>
                <w:sz w:val="28"/>
                <w:szCs w:val="28"/>
                <w:lang w:val="uk-UA"/>
              </w:rPr>
            </w:pPr>
            <w:r w:rsidRPr="00704573">
              <w:rPr>
                <w:rFonts w:ascii="Times New Roman" w:eastAsia="Calibri" w:hAnsi="Times New Roman" w:cs="Times New Roman"/>
                <w:b/>
                <w:sz w:val="28"/>
                <w:szCs w:val="28"/>
                <w:lang w:val="uk-UA"/>
              </w:rPr>
              <w:t>РІШЕННЯ</w:t>
            </w:r>
          </w:p>
        </w:tc>
        <w:tc>
          <w:tcPr>
            <w:tcW w:w="2918" w:type="dxa"/>
            <w:gridSpan w:val="2"/>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r>
      <w:tr w:rsidR="00936A94" w:rsidRPr="00704573" w:rsidTr="00936A94">
        <w:tc>
          <w:tcPr>
            <w:tcW w:w="3400" w:type="dxa"/>
            <w:gridSpan w:val="2"/>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c>
          <w:tcPr>
            <w:tcW w:w="2918" w:type="dxa"/>
            <w:gridSpan w:val="2"/>
            <w:shd w:val="clear" w:color="auto" w:fill="auto"/>
          </w:tcPr>
          <w:p w:rsidR="00936A94" w:rsidRPr="00704573" w:rsidRDefault="00936A94" w:rsidP="00A324F6">
            <w:pPr>
              <w:spacing w:after="0" w:line="240" w:lineRule="auto"/>
              <w:ind w:right="-284"/>
              <w:rPr>
                <w:rFonts w:ascii="Times New Roman" w:eastAsia="Calibri" w:hAnsi="Times New Roman" w:cs="Times New Roman"/>
                <w:sz w:val="28"/>
                <w:szCs w:val="28"/>
                <w:lang w:val="uk-UA"/>
              </w:rPr>
            </w:pPr>
          </w:p>
        </w:tc>
      </w:tr>
      <w:tr w:rsidR="00936A94" w:rsidRPr="00704573" w:rsidTr="00936A94">
        <w:tc>
          <w:tcPr>
            <w:tcW w:w="3400" w:type="dxa"/>
            <w:gridSpan w:val="2"/>
            <w:shd w:val="clear" w:color="auto" w:fill="auto"/>
            <w:hideMark/>
          </w:tcPr>
          <w:p w:rsidR="00936A94" w:rsidRPr="00704573" w:rsidRDefault="00936A94" w:rsidP="00A324F6">
            <w:pPr>
              <w:spacing w:after="0" w:line="240" w:lineRule="auto"/>
              <w:ind w:left="-109" w:right="-284"/>
              <w:rPr>
                <w:rFonts w:ascii="Times New Roman" w:eastAsia="Calibri" w:hAnsi="Times New Roman" w:cs="Times New Roman"/>
                <w:b/>
                <w:sz w:val="28"/>
                <w:szCs w:val="28"/>
                <w:lang w:val="uk-UA"/>
              </w:rPr>
            </w:pPr>
            <w:r w:rsidRPr="00311572">
              <w:rPr>
                <w:rFonts w:ascii="Times New Roman" w:eastAsia="Calibri" w:hAnsi="Times New Roman" w:cs="Times New Roman"/>
                <w:b/>
                <w:color w:val="000000" w:themeColor="text1"/>
                <w:sz w:val="28"/>
                <w:szCs w:val="28"/>
                <w:lang w:val="uk-UA"/>
              </w:rPr>
              <w:t xml:space="preserve">25 </w:t>
            </w:r>
            <w:r>
              <w:rPr>
                <w:rFonts w:ascii="Times New Roman" w:eastAsia="Calibri" w:hAnsi="Times New Roman" w:cs="Times New Roman"/>
                <w:b/>
                <w:color w:val="000000" w:themeColor="text1"/>
                <w:sz w:val="28"/>
                <w:szCs w:val="28"/>
                <w:lang w:val="uk-UA"/>
              </w:rPr>
              <w:t>груд</w:t>
            </w:r>
            <w:r w:rsidRPr="00311572">
              <w:rPr>
                <w:rFonts w:ascii="Times New Roman" w:eastAsia="Calibri" w:hAnsi="Times New Roman" w:cs="Times New Roman"/>
                <w:b/>
                <w:color w:val="000000" w:themeColor="text1"/>
                <w:sz w:val="28"/>
                <w:szCs w:val="28"/>
                <w:lang w:val="uk-UA"/>
              </w:rPr>
              <w:t xml:space="preserve">ня </w:t>
            </w:r>
            <w:r w:rsidRPr="00704573">
              <w:rPr>
                <w:rFonts w:ascii="Times New Roman" w:eastAsia="Calibri" w:hAnsi="Times New Roman" w:cs="Times New Roman"/>
                <w:b/>
                <w:sz w:val="28"/>
                <w:szCs w:val="28"/>
                <w:lang w:val="uk-UA"/>
              </w:rPr>
              <w:t>2024 року</w:t>
            </w:r>
          </w:p>
        </w:tc>
        <w:tc>
          <w:tcPr>
            <w:tcW w:w="3180" w:type="dxa"/>
            <w:shd w:val="clear" w:color="auto" w:fill="auto"/>
            <w:hideMark/>
          </w:tcPr>
          <w:p w:rsidR="00936A94" w:rsidRPr="00704573" w:rsidRDefault="00936A94" w:rsidP="00A324F6">
            <w:pPr>
              <w:spacing w:after="0" w:line="240" w:lineRule="auto"/>
              <w:ind w:right="-284"/>
              <w:jc w:val="center"/>
              <w:rPr>
                <w:rFonts w:ascii="Times New Roman" w:eastAsia="Calibri" w:hAnsi="Times New Roman" w:cs="Times New Roman"/>
                <w:b/>
                <w:sz w:val="28"/>
                <w:szCs w:val="28"/>
                <w:lang w:val="uk-UA"/>
              </w:rPr>
            </w:pPr>
            <w:r w:rsidRPr="00704573">
              <w:rPr>
                <w:rFonts w:ascii="Times New Roman" w:eastAsia="Calibri" w:hAnsi="Times New Roman" w:cs="Times New Roman"/>
                <w:b/>
                <w:sz w:val="28"/>
                <w:szCs w:val="28"/>
                <w:lang w:val="uk-UA"/>
              </w:rPr>
              <w:t>Київ</w:t>
            </w:r>
          </w:p>
        </w:tc>
        <w:tc>
          <w:tcPr>
            <w:tcW w:w="2918" w:type="dxa"/>
            <w:gridSpan w:val="2"/>
            <w:shd w:val="clear" w:color="auto" w:fill="auto"/>
            <w:hideMark/>
          </w:tcPr>
          <w:p w:rsidR="00936A94" w:rsidRPr="00704573" w:rsidRDefault="00936A94" w:rsidP="00A324F6">
            <w:pPr>
              <w:spacing w:after="0" w:line="240" w:lineRule="auto"/>
              <w:jc w:val="right"/>
              <w:rPr>
                <w:rFonts w:ascii="Times New Roman" w:eastAsia="Calibri" w:hAnsi="Times New Roman" w:cs="Times New Roman"/>
                <w:b/>
                <w:sz w:val="28"/>
                <w:szCs w:val="28"/>
                <w:lang w:val="uk-UA"/>
              </w:rPr>
            </w:pPr>
            <w:r w:rsidRPr="00704573">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800</w:t>
            </w:r>
            <w:r w:rsidRPr="00704573">
              <w:rPr>
                <w:rFonts w:ascii="Times New Roman" w:eastAsia="Calibri" w:hAnsi="Times New Roman" w:cs="Times New Roman"/>
                <w:b/>
                <w:sz w:val="28"/>
                <w:szCs w:val="28"/>
                <w:lang w:val="uk-UA"/>
              </w:rPr>
              <w:t>дс-24</w:t>
            </w:r>
          </w:p>
        </w:tc>
      </w:tr>
    </w:tbl>
    <w:p w:rsidR="00936A94" w:rsidRPr="00704573" w:rsidRDefault="00936A94" w:rsidP="00A324F6">
      <w:pPr>
        <w:spacing w:after="0" w:line="240" w:lineRule="auto"/>
        <w:ind w:right="-284"/>
        <w:contextualSpacing/>
        <w:rPr>
          <w:rFonts w:ascii="Times New Roman" w:eastAsia="Calibri" w:hAnsi="Times New Roman" w:cs="Times New Roman"/>
          <w:b/>
          <w:noProof/>
          <w:sz w:val="28"/>
          <w:szCs w:val="28"/>
          <w:lang w:val="uk-UA" w:eastAsia="uk-UA"/>
        </w:rPr>
      </w:pPr>
    </w:p>
    <w:p w:rsidR="00936A94" w:rsidRPr="00704573" w:rsidRDefault="00936A94" w:rsidP="00A324F6">
      <w:pPr>
        <w:spacing w:after="0" w:line="240" w:lineRule="auto"/>
        <w:ind w:right="-284"/>
        <w:contextualSpacing/>
        <w:rPr>
          <w:rFonts w:ascii="Times New Roman" w:eastAsia="Calibri" w:hAnsi="Times New Roman" w:cs="Times New Roman"/>
          <w:b/>
          <w:noProof/>
          <w:sz w:val="28"/>
          <w:szCs w:val="28"/>
          <w:lang w:val="uk-UA" w:eastAsia="uk-UA"/>
        </w:rPr>
      </w:pPr>
      <w:r w:rsidRPr="00704573">
        <w:rPr>
          <w:rFonts w:ascii="Times New Roman" w:eastAsia="Calibri" w:hAnsi="Times New Roman" w:cs="Times New Roman"/>
          <w:b/>
          <w:noProof/>
          <w:sz w:val="28"/>
          <w:szCs w:val="28"/>
          <w:lang w:val="uk-UA" w:eastAsia="uk-UA"/>
        </w:rPr>
        <w:t xml:space="preserve">Про відмову у відкритті </w:t>
      </w:r>
    </w:p>
    <w:p w:rsidR="00936A94" w:rsidRPr="00704573" w:rsidRDefault="00936A94" w:rsidP="00A324F6">
      <w:pPr>
        <w:spacing w:after="0" w:line="240" w:lineRule="auto"/>
        <w:ind w:right="-284"/>
        <w:contextualSpacing/>
        <w:rPr>
          <w:rFonts w:ascii="Times New Roman" w:eastAsia="Calibri" w:hAnsi="Times New Roman" w:cs="Times New Roman"/>
          <w:b/>
          <w:noProof/>
          <w:sz w:val="28"/>
          <w:szCs w:val="28"/>
          <w:lang w:val="uk-UA" w:eastAsia="uk-UA"/>
        </w:rPr>
      </w:pPr>
      <w:r w:rsidRPr="00704573">
        <w:rPr>
          <w:rFonts w:ascii="Times New Roman" w:eastAsia="Calibri" w:hAnsi="Times New Roman" w:cs="Times New Roman"/>
          <w:b/>
          <w:noProof/>
          <w:sz w:val="28"/>
          <w:szCs w:val="28"/>
          <w:lang w:val="uk-UA" w:eastAsia="uk-UA"/>
        </w:rPr>
        <w:t xml:space="preserve">дисциплінарного провадження </w:t>
      </w:r>
    </w:p>
    <w:p w:rsidR="00936A94" w:rsidRPr="00704573" w:rsidRDefault="00936A94" w:rsidP="00A324F6">
      <w:pPr>
        <w:widowControl w:val="0"/>
        <w:spacing w:after="0" w:line="240" w:lineRule="auto"/>
        <w:ind w:right="-284"/>
        <w:contextualSpacing/>
        <w:rPr>
          <w:rFonts w:ascii="Times New Roman" w:eastAsia="Calibri" w:hAnsi="Times New Roman" w:cs="Times New Roman"/>
          <w:b/>
          <w:noProof/>
          <w:sz w:val="28"/>
          <w:szCs w:val="28"/>
          <w:lang w:val="uk-UA" w:eastAsia="uk-UA"/>
        </w:rPr>
      </w:pP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Член </w:t>
      </w:r>
      <w:r w:rsidRPr="00704573">
        <w:rPr>
          <w:rFonts w:ascii="Times New Roman" w:eastAsia="Calibri" w:hAnsi="Times New Roman" w:cs="Times New Roman"/>
          <w:bCs/>
          <w:sz w:val="28"/>
          <w:szCs w:val="28"/>
          <w:lang w:val="uk-UA"/>
        </w:rPr>
        <w:t>Кваліфікаційно-дисциплінарної комісії прокурорів</w:t>
      </w:r>
      <w:r w:rsidRPr="00704573">
        <w:rPr>
          <w:rFonts w:ascii="Calibri" w:eastAsia="Calibri" w:hAnsi="Calibri" w:cs="Times New Roman"/>
          <w:b/>
          <w:bCs/>
          <w:szCs w:val="28"/>
          <w:lang w:val="uk-UA"/>
        </w:rPr>
        <w:t xml:space="preserve"> </w:t>
      </w:r>
      <w:r w:rsidRPr="00311572">
        <w:rPr>
          <w:rFonts w:ascii="Times New Roman" w:eastAsia="Calibri" w:hAnsi="Times New Roman" w:cs="Times New Roman"/>
          <w:bCs/>
          <w:sz w:val="28"/>
          <w:szCs w:val="28"/>
          <w:lang w:val="uk-UA"/>
        </w:rPr>
        <w:t>Гарбуза</w:t>
      </w:r>
      <w:r w:rsidR="00A324F6">
        <w:rPr>
          <w:rFonts w:ascii="Times New Roman" w:eastAsia="Calibri" w:hAnsi="Times New Roman" w:cs="Times New Roman"/>
          <w:bCs/>
          <w:sz w:val="28"/>
          <w:szCs w:val="28"/>
          <w:lang w:val="uk-UA"/>
        </w:rPr>
        <w:t> </w:t>
      </w:r>
      <w:bookmarkStart w:id="0" w:name="_GoBack"/>
      <w:bookmarkEnd w:id="0"/>
      <w:r w:rsidRPr="00311572">
        <w:rPr>
          <w:rFonts w:ascii="Times New Roman" w:eastAsia="Calibri" w:hAnsi="Times New Roman" w:cs="Times New Roman"/>
          <w:bCs/>
          <w:sz w:val="28"/>
          <w:szCs w:val="28"/>
          <w:lang w:val="uk-UA"/>
        </w:rPr>
        <w:t>Н.В</w:t>
      </w:r>
      <w:r w:rsidRPr="00311572">
        <w:rPr>
          <w:rFonts w:ascii="Times New Roman" w:eastAsia="Calibri" w:hAnsi="Times New Roman" w:cs="Times New Roman"/>
          <w:sz w:val="28"/>
          <w:szCs w:val="28"/>
          <w:lang w:val="uk-UA"/>
        </w:rPr>
        <w:t>.</w:t>
      </w:r>
      <w:r w:rsidRPr="00704573">
        <w:rPr>
          <w:rFonts w:ascii="Times New Roman" w:eastAsia="Calibri" w:hAnsi="Times New Roman" w:cs="Times New Roman"/>
          <w:sz w:val="28"/>
          <w:szCs w:val="28"/>
          <w:lang w:val="uk-UA"/>
        </w:rPr>
        <w:t xml:space="preserve">, розглянувши дисциплінарну </w:t>
      </w:r>
      <w:bookmarkStart w:id="1" w:name="_Hlk124933696"/>
      <w:r w:rsidRPr="00704573">
        <w:rPr>
          <w:rFonts w:ascii="Times New Roman" w:eastAsia="Calibri" w:hAnsi="Times New Roman" w:cs="Times New Roman"/>
          <w:sz w:val="28"/>
          <w:szCs w:val="28"/>
          <w:lang w:val="uk-UA"/>
        </w:rPr>
        <w:t xml:space="preserve">скаргу </w:t>
      </w:r>
      <w:bookmarkStart w:id="2" w:name="_Hlk126658932"/>
      <w:bookmarkEnd w:id="1"/>
      <w:r w:rsidRPr="00704573">
        <w:rPr>
          <w:rFonts w:ascii="Times New Roman" w:eastAsia="Calibri" w:hAnsi="Times New Roman" w:cs="Times New Roman"/>
          <w:sz w:val="28"/>
          <w:szCs w:val="28"/>
          <w:lang w:val="uk-UA"/>
        </w:rPr>
        <w:t xml:space="preserve">адвоката </w:t>
      </w:r>
      <w:r>
        <w:rPr>
          <w:rFonts w:ascii="Times New Roman" w:eastAsia="Calibri" w:hAnsi="Times New Roman" w:cs="Times New Roman"/>
          <w:sz w:val="28"/>
          <w:szCs w:val="28"/>
          <w:lang w:val="uk-UA"/>
        </w:rPr>
        <w:t>ОСОБА 1</w:t>
      </w:r>
      <w:r w:rsidRPr="00704573">
        <w:rPr>
          <w:rFonts w:ascii="Times New Roman" w:eastAsia="Calibri" w:hAnsi="Times New Roman" w:cs="Times New Roman"/>
          <w:sz w:val="28"/>
          <w:szCs w:val="28"/>
          <w:lang w:val="uk-UA"/>
        </w:rPr>
        <w:t xml:space="preserve">, подану в інтересах представника власника майна </w:t>
      </w:r>
      <w:r>
        <w:rPr>
          <w:rFonts w:ascii="Times New Roman" w:eastAsia="Calibri" w:hAnsi="Times New Roman" w:cs="Times New Roman"/>
          <w:sz w:val="28"/>
          <w:szCs w:val="28"/>
          <w:lang w:val="uk-UA"/>
        </w:rPr>
        <w:t>ОСОБА 2</w:t>
      </w:r>
      <w:r w:rsidRPr="00704573">
        <w:rPr>
          <w:rFonts w:ascii="Times New Roman" w:eastAsia="Calibri" w:hAnsi="Times New Roman" w:cs="Times New Roman"/>
          <w:sz w:val="28"/>
          <w:szCs w:val="28"/>
          <w:lang w:val="uk-UA"/>
        </w:rPr>
        <w:t xml:space="preserve"> </w:t>
      </w:r>
      <w:bookmarkEnd w:id="2"/>
      <w:r w:rsidRPr="00704573">
        <w:rPr>
          <w:rFonts w:ascii="Times New Roman" w:eastAsia="Calibri" w:hAnsi="Times New Roman" w:cs="Times New Roman"/>
          <w:sz w:val="28"/>
          <w:szCs w:val="28"/>
          <w:lang w:val="uk-UA"/>
        </w:rPr>
        <w:t>стосовно прокурора третього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Ковальова Івана Ігоровича (далі – прокурор Ковальов І.І.),</w:t>
      </w:r>
    </w:p>
    <w:p w:rsidR="00936A94" w:rsidRP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936A94" w:rsidRPr="00704573" w:rsidRDefault="00936A94" w:rsidP="00A324F6">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704573">
        <w:rPr>
          <w:rFonts w:ascii="Times New Roman" w:eastAsia="Calibri" w:hAnsi="Times New Roman" w:cs="Times New Roman"/>
          <w:b/>
          <w:noProof/>
          <w:sz w:val="28"/>
          <w:szCs w:val="28"/>
          <w:lang w:val="uk-UA" w:eastAsia="uk-UA"/>
        </w:rPr>
        <w:t>СТАНОВИ</w:t>
      </w:r>
      <w:r>
        <w:rPr>
          <w:rFonts w:ascii="Times New Roman" w:eastAsia="Calibri" w:hAnsi="Times New Roman" w:cs="Times New Roman"/>
          <w:b/>
          <w:noProof/>
          <w:sz w:val="28"/>
          <w:szCs w:val="28"/>
          <w:lang w:val="uk-UA" w:eastAsia="uk-UA"/>
        </w:rPr>
        <w:t>ЛА</w:t>
      </w:r>
      <w:r w:rsidRPr="00704573">
        <w:rPr>
          <w:rFonts w:ascii="Times New Roman" w:eastAsia="Calibri" w:hAnsi="Times New Roman" w:cs="Times New Roman"/>
          <w:b/>
          <w:noProof/>
          <w:sz w:val="28"/>
          <w:szCs w:val="28"/>
          <w:lang w:val="uk-UA" w:eastAsia="uk-UA"/>
        </w:rPr>
        <w:t>:</w:t>
      </w:r>
    </w:p>
    <w:p w:rsidR="00936A94" w:rsidRPr="00936A94" w:rsidRDefault="00936A94" w:rsidP="00A324F6">
      <w:pPr>
        <w:widowControl w:val="0"/>
        <w:tabs>
          <w:tab w:val="left" w:pos="993"/>
        </w:tabs>
        <w:spacing w:after="0" w:line="240" w:lineRule="auto"/>
        <w:ind w:right="-284" w:firstLine="567"/>
        <w:contextualSpacing/>
        <w:jc w:val="center"/>
        <w:rPr>
          <w:rFonts w:ascii="Times New Roman" w:eastAsia="Calibri" w:hAnsi="Times New Roman" w:cs="Times New Roman"/>
          <w:b/>
          <w:noProof/>
          <w:sz w:val="16"/>
          <w:szCs w:val="16"/>
          <w:lang w:val="uk-UA" w:eastAsia="uk-UA"/>
        </w:rPr>
      </w:pP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До </w:t>
      </w:r>
      <w:r w:rsidRPr="00704573">
        <w:rPr>
          <w:rFonts w:ascii="Times New Roman" w:eastAsia="Calibri" w:hAnsi="Times New Roman" w:cs="Times New Roman"/>
          <w:bCs/>
          <w:sz w:val="28"/>
          <w:szCs w:val="28"/>
          <w:lang w:val="uk-UA"/>
        </w:rPr>
        <w:t>Кваліфікаційно-дисциплінарної комісії прокурорів</w:t>
      </w:r>
      <w:r w:rsidRPr="00704573">
        <w:rPr>
          <w:rFonts w:ascii="Calibri" w:eastAsia="Calibri" w:hAnsi="Calibri" w:cs="Times New Roman"/>
          <w:b/>
          <w:bCs/>
          <w:szCs w:val="28"/>
          <w:lang w:val="uk-UA"/>
        </w:rPr>
        <w:t xml:space="preserve"> </w:t>
      </w:r>
      <w:r w:rsidRPr="00704573">
        <w:rPr>
          <w:rFonts w:ascii="Times New Roman" w:eastAsia="Calibri" w:hAnsi="Times New Roman" w:cs="Times New Roman"/>
          <w:sz w:val="28"/>
          <w:szCs w:val="28"/>
          <w:lang w:val="uk-UA"/>
        </w:rPr>
        <w:t xml:space="preserve">(далі – Комісія), надійшла дисциплінарна скарга адвоката </w:t>
      </w:r>
      <w:r>
        <w:rPr>
          <w:rFonts w:ascii="Times New Roman" w:eastAsia="Calibri" w:hAnsi="Times New Roman" w:cs="Times New Roman"/>
          <w:sz w:val="28"/>
          <w:szCs w:val="28"/>
          <w:lang w:val="uk-UA"/>
        </w:rPr>
        <w:t>ОСОБА 1</w:t>
      </w:r>
      <w:r w:rsidRPr="00704573">
        <w:rPr>
          <w:rFonts w:ascii="Times New Roman" w:eastAsia="Calibri" w:hAnsi="Times New Roman" w:cs="Times New Roman"/>
          <w:sz w:val="28"/>
          <w:szCs w:val="28"/>
          <w:lang w:val="uk-UA"/>
        </w:rPr>
        <w:t xml:space="preserve"> про вчинення дисциплінарного проступку прокурором Ковальовим І.І.</w:t>
      </w: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Pr="00311572">
        <w:rPr>
          <w:rFonts w:ascii="Times New Roman" w:eastAsia="Calibri" w:hAnsi="Times New Roman" w:cs="Times New Roman"/>
          <w:color w:val="000000" w:themeColor="text1"/>
          <w:sz w:val="28"/>
          <w:szCs w:val="28"/>
          <w:lang w:val="uk-UA"/>
        </w:rPr>
        <w:t>13 грудня</w:t>
      </w:r>
      <w:r w:rsidRPr="00704573">
        <w:rPr>
          <w:rFonts w:ascii="Times New Roman" w:eastAsia="Calibri" w:hAnsi="Times New Roman" w:cs="Times New Roman"/>
          <w:color w:val="FF0000"/>
          <w:sz w:val="28"/>
          <w:szCs w:val="28"/>
          <w:lang w:val="uk-UA"/>
        </w:rPr>
        <w:t xml:space="preserve"> </w:t>
      </w:r>
      <w:r w:rsidRPr="00704573">
        <w:rPr>
          <w:rFonts w:ascii="Times New Roman" w:eastAsia="Calibri" w:hAnsi="Times New Roman" w:cs="Times New Roman"/>
          <w:sz w:val="28"/>
          <w:szCs w:val="28"/>
          <w:lang w:val="uk-UA"/>
        </w:rPr>
        <w:t xml:space="preserve">2024 року). </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936A94" w:rsidRPr="00704573" w:rsidRDefault="00936A94" w:rsidP="00A324F6">
      <w:pPr>
        <w:tabs>
          <w:tab w:val="left" w:pos="567"/>
        </w:tabs>
        <w:spacing w:after="0" w:line="240" w:lineRule="auto"/>
        <w:ind w:right="-284" w:firstLine="567"/>
        <w:jc w:val="both"/>
        <w:rPr>
          <w:rFonts w:ascii="Times New Roman" w:eastAsia="Calibri" w:hAnsi="Times New Roman" w:cs="Times New Roman"/>
          <w:sz w:val="28"/>
          <w:szCs w:val="28"/>
          <w:lang w:val="uk-UA"/>
        </w:rPr>
      </w:pPr>
      <w:r w:rsidRPr="00704573">
        <w:rPr>
          <w:rFonts w:ascii="Times New Roman" w:eastAsia="Calibri" w:hAnsi="Times New Roman" w:cs="Times New Roman"/>
          <w:b/>
          <w:sz w:val="28"/>
          <w:szCs w:val="28"/>
          <w:lang w:val="uk-UA"/>
        </w:rPr>
        <w:t>Зміст скарги</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Автор скарги зазначив, що Головним слідчим управлінням Національної поліції України здійснюється досудове розслідування у кримінальному провадженні № </w:t>
      </w:r>
      <w:r>
        <w:rPr>
          <w:rFonts w:ascii="Times New Roman" w:eastAsia="Calibri" w:hAnsi="Times New Roman" w:cs="Times New Roman"/>
          <w:sz w:val="28"/>
          <w:szCs w:val="28"/>
          <w:lang w:val="uk-UA"/>
        </w:rPr>
        <w:t>(конфіденційна інформація)</w:t>
      </w:r>
      <w:r w:rsidRPr="00704573">
        <w:rPr>
          <w:rFonts w:ascii="Times New Roman" w:eastAsia="Calibri" w:hAnsi="Times New Roman" w:cs="Times New Roman"/>
          <w:sz w:val="28"/>
          <w:szCs w:val="28"/>
          <w:lang w:val="uk-UA"/>
        </w:rPr>
        <w:t xml:space="preserve"> за ознаками вчинення кримінальних правопорушень, передбачених статтею 219, частиною другою статті 364, частиною п’ятою статті 191 Кримінального кодексу (далі</w:t>
      </w:r>
      <w:r>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 xml:space="preserve"> КК) України.</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У цьому кримінальному провадженні процесуальне керівництво здійснює Офіс Генерального прокурора, а саме прокурор Ковальов І.І.</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Під час досудового розслідування на підставі ухвали слідчого судді Печерського районного суду м. Києва від 26 лютого 2024 року проведено обшук </w:t>
      </w:r>
      <w:r w:rsidRPr="00704573">
        <w:rPr>
          <w:rFonts w:ascii="Times New Roman" w:eastAsia="Calibri" w:hAnsi="Times New Roman" w:cs="Times New Roman"/>
          <w:sz w:val="28"/>
          <w:szCs w:val="28"/>
          <w:lang w:val="uk-UA"/>
        </w:rPr>
        <w:lastRenderedPageBreak/>
        <w:t xml:space="preserve">та вилучено майно, яке належить </w:t>
      </w:r>
      <w:r>
        <w:rPr>
          <w:rFonts w:ascii="Times New Roman" w:eastAsia="Calibri" w:hAnsi="Times New Roman" w:cs="Times New Roman"/>
          <w:sz w:val="28"/>
          <w:szCs w:val="28"/>
          <w:lang w:val="uk-UA"/>
        </w:rPr>
        <w:t>ОСОБА 2</w:t>
      </w:r>
      <w:r w:rsidRPr="00704573">
        <w:rPr>
          <w:rFonts w:ascii="Times New Roman" w:eastAsia="Calibri" w:hAnsi="Times New Roman" w:cs="Times New Roman"/>
          <w:sz w:val="28"/>
          <w:szCs w:val="28"/>
          <w:lang w:val="uk-UA"/>
        </w:rPr>
        <w:t>.</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Далі, ухвалою Печерського районного суду м. Києва від 22 травня 2024 року зобов’язано старшого слідчого в особливо важливих справах Головного слідчого управління Національної поліції України чи іншу уповноважену особу цього управління повернути майно </w:t>
      </w:r>
      <w:r>
        <w:rPr>
          <w:rFonts w:ascii="Times New Roman" w:eastAsia="Calibri" w:hAnsi="Times New Roman" w:cs="Times New Roman"/>
          <w:sz w:val="28"/>
          <w:szCs w:val="28"/>
          <w:lang w:val="uk-UA"/>
        </w:rPr>
        <w:t>ОСОБА 2</w:t>
      </w:r>
      <w:r w:rsidRPr="00704573">
        <w:rPr>
          <w:rFonts w:ascii="Times New Roman" w:eastAsia="Calibri" w:hAnsi="Times New Roman" w:cs="Times New Roman"/>
          <w:sz w:val="28"/>
          <w:szCs w:val="28"/>
          <w:lang w:val="uk-UA"/>
        </w:rPr>
        <w:t>, вилучене під час проведення обшуку 19</w:t>
      </w:r>
      <w:r w:rsidR="00A324F6">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березня 2024 року.</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Однак, будь-яких підтверджуючих даних про виконання вимог ухвали суду до скаржника до теперішнього часу не надійшло.</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Зазначене, на думку скаржника,</w:t>
      </w:r>
      <w:r>
        <w:rPr>
          <w:rFonts w:ascii="Times New Roman" w:eastAsia="Calibri" w:hAnsi="Times New Roman" w:cs="Times New Roman"/>
          <w:sz w:val="28"/>
          <w:szCs w:val="28"/>
          <w:lang w:val="uk-UA"/>
        </w:rPr>
        <w:t xml:space="preserve"> свідчить</w:t>
      </w:r>
      <w:r w:rsidRPr="00704573">
        <w:rPr>
          <w:rFonts w:ascii="Times New Roman" w:eastAsia="Calibri" w:hAnsi="Times New Roman" w:cs="Times New Roman"/>
          <w:sz w:val="28"/>
          <w:szCs w:val="28"/>
          <w:lang w:val="uk-UA"/>
        </w:rPr>
        <w:t xml:space="preserve"> про протиправну бездіяльність прокурора Ковальова І.І., неналежне процесуальне керівництво та здійснення нагляду за додержанням законодавства під час проведення досудового розслідування. </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У зв’язку з цим, адвокат </w:t>
      </w:r>
      <w:r>
        <w:rPr>
          <w:rFonts w:ascii="Times New Roman" w:eastAsia="Calibri" w:hAnsi="Times New Roman" w:cs="Times New Roman"/>
          <w:sz w:val="28"/>
          <w:szCs w:val="28"/>
          <w:lang w:val="uk-UA"/>
        </w:rPr>
        <w:t>ОСОБА 1</w:t>
      </w:r>
      <w:r w:rsidRPr="00704573">
        <w:rPr>
          <w:rFonts w:ascii="Times New Roman" w:eastAsia="Calibri" w:hAnsi="Times New Roman" w:cs="Times New Roman"/>
          <w:sz w:val="28"/>
          <w:szCs w:val="28"/>
          <w:lang w:val="uk-UA"/>
        </w:rPr>
        <w:t xml:space="preserve"> 04 жовтня 2024 року змушений подати клопотання до Офісу Генерального прокурора про надання вказівки або доручення органу досудового розслідування виконати ухвалу Печерського районного суду м. Києва у вказаному вище кримінальному провадженні про повернення майна.</w:t>
      </w:r>
    </w:p>
    <w:p w:rsidR="00936A94" w:rsidRPr="00704573" w:rsidRDefault="00936A94" w:rsidP="00A324F6">
      <w:pPr>
        <w:tabs>
          <w:tab w:val="left" w:pos="567"/>
        </w:tabs>
        <w:spacing w:after="0" w:line="240" w:lineRule="auto"/>
        <w:ind w:right="-284" w:firstLine="567"/>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З огляду на викладене скаржник просив притягти прокурора Ковальова І.І. до дисциплінарної відповідальності на підставі пункту 1 (невиконання чи неналежне виконання службових обов’язків), пункту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пункту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частини першої статті 43 Закону України «Про прокуратуру» від 14 жовтня 2014 року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 xml:space="preserve"> (далі – Закон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936A94" w:rsidRPr="00704573" w:rsidRDefault="00936A94" w:rsidP="00A324F6">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704573">
        <w:rPr>
          <w:rFonts w:ascii="Times New Roman" w:eastAsia="Calibri" w:hAnsi="Times New Roman" w:cs="Times New Roman"/>
          <w:b/>
          <w:sz w:val="28"/>
          <w:szCs w:val="28"/>
          <w:lang w:val="uk-UA"/>
        </w:rPr>
        <w:t>Щодо встановлених фактичних даних</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До дисциплінарної скарги додано копії: ухвали Печерського районного суду м.</w:t>
      </w:r>
      <w:r>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Києва від 22 травня 2024 року у справі № </w:t>
      </w:r>
      <w:r>
        <w:rPr>
          <w:rFonts w:ascii="Times New Roman" w:eastAsia="Calibri" w:hAnsi="Times New Roman" w:cs="Times New Roman"/>
          <w:sz w:val="28"/>
          <w:szCs w:val="28"/>
          <w:lang w:val="uk-UA"/>
        </w:rPr>
        <w:t>(конфіденційна інформація)</w:t>
      </w:r>
      <w:r w:rsidRPr="00704573">
        <w:rPr>
          <w:rFonts w:ascii="Times New Roman" w:eastAsia="Calibri" w:hAnsi="Times New Roman" w:cs="Times New Roman"/>
          <w:sz w:val="28"/>
          <w:szCs w:val="28"/>
          <w:lang w:val="uk-UA"/>
        </w:rPr>
        <w:t>; листа до Головного</w:t>
      </w:r>
      <w:r>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 xml:space="preserve"> слідчого управління Національної поліції України від 01</w:t>
      </w:r>
      <w:r>
        <w:rPr>
          <w:rFonts w:ascii="Times New Roman" w:eastAsia="Calibri" w:hAnsi="Times New Roman" w:cs="Times New Roman"/>
          <w:sz w:val="28"/>
          <w:szCs w:val="28"/>
          <w:lang w:val="uk-UA"/>
        </w:rPr>
        <w:t xml:space="preserve"> та 29</w:t>
      </w:r>
      <w:r>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 xml:space="preserve">серпня 2024 року; клопотання до Офісу Генерального прокурора від </w:t>
      </w:r>
      <w:r w:rsidRPr="00704573">
        <w:rPr>
          <w:rFonts w:ascii="Times New Roman" w:eastAsia="Calibri" w:hAnsi="Times New Roman" w:cs="Times New Roman"/>
          <w:sz w:val="28"/>
          <w:szCs w:val="28"/>
          <w:lang w:val="uk-UA"/>
        </w:rPr>
        <w:br/>
        <w:t>04 жовтня 2024 року; документів, які підтверджують повноваження скаржника.</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936A94" w:rsidRPr="00704573" w:rsidRDefault="00936A94" w:rsidP="00A324F6">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704573">
        <w:rPr>
          <w:rFonts w:ascii="Times New Roman" w:eastAsia="Calibri" w:hAnsi="Times New Roman" w:cs="Times New Roman"/>
          <w:b/>
          <w:sz w:val="28"/>
          <w:szCs w:val="28"/>
          <w:lang w:val="uk-UA"/>
        </w:rPr>
        <w:t>Джерела права, які підлягають застосуванню</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 xml:space="preserve">). </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Однією із засад діяльності прокуратури, визначеною у статті 3 Закону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 є незалежність прокурорів. Зі змісту частини другої статті 16 Закону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 xml:space="preserve"> </w:t>
      </w:r>
      <w:r w:rsidRPr="00704573">
        <w:rPr>
          <w:rFonts w:ascii="Times New Roman" w:eastAsia="Calibri" w:hAnsi="Times New Roman" w:cs="Times New Roman"/>
          <w:sz w:val="28"/>
          <w:szCs w:val="28"/>
          <w:lang w:val="uk-UA"/>
        </w:rPr>
        <w:t xml:space="preserve">вбачається, що, здійснюючи функції прокуратури, прокурор є незалежним від будь-якого незаконного впливу, тиску, втручання і керується у </w:t>
      </w:r>
      <w:r w:rsidRPr="00704573">
        <w:rPr>
          <w:rFonts w:ascii="Times New Roman" w:eastAsia="Calibri" w:hAnsi="Times New Roman" w:cs="Times New Roman"/>
          <w:sz w:val="28"/>
          <w:szCs w:val="28"/>
          <w:lang w:val="uk-UA"/>
        </w:rPr>
        <w:lastRenderedPageBreak/>
        <w:t>своїй діяльності лише Конституцією та законами України.</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Водночас положеннями абзацу 2 частини першої статті 45 Закону </w:t>
      </w:r>
      <w:r w:rsidRPr="00936A94">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936A94">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936A94">
        <w:rPr>
          <w:rFonts w:ascii="Times New Roman" w:eastAsia="Calibri" w:hAnsi="Times New Roman" w:cs="Times New Roman"/>
          <w:sz w:val="28"/>
          <w:szCs w:val="28"/>
          <w:lang w:val="uk-UA"/>
        </w:rPr>
        <w:t xml:space="preserve">VII </w:t>
      </w:r>
      <w:r w:rsidRPr="00704573">
        <w:rPr>
          <w:rFonts w:ascii="Times New Roman" w:eastAsia="Calibri" w:hAnsi="Times New Roman" w:cs="Times New Roman"/>
          <w:sz w:val="28"/>
          <w:szCs w:val="28"/>
          <w:lang w:val="uk-UA"/>
        </w:rPr>
        <w:t>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bCs/>
          <w:sz w:val="28"/>
          <w:szCs w:val="28"/>
          <w:lang w:val="uk-UA"/>
        </w:rPr>
        <w:t xml:space="preserve">Частиною першою статті 43 </w:t>
      </w:r>
      <w:r w:rsidRPr="00704573">
        <w:rPr>
          <w:rFonts w:ascii="Times New Roman" w:eastAsia="Calibri" w:hAnsi="Times New Roman" w:cs="Times New Roman"/>
          <w:sz w:val="28"/>
          <w:szCs w:val="28"/>
          <w:lang w:val="uk-UA"/>
        </w:rPr>
        <w:t>Закону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 xml:space="preserve"> </w:t>
      </w:r>
      <w:r w:rsidRPr="00704573">
        <w:rPr>
          <w:rFonts w:ascii="Times New Roman" w:eastAsia="Calibri" w:hAnsi="Times New Roman" w:cs="Times New Roman"/>
          <w:sz w:val="28"/>
          <w:szCs w:val="28"/>
          <w:lang w:val="uk-UA"/>
        </w:rPr>
        <w:t xml:space="preserve">визначено, що </w:t>
      </w:r>
      <w:bookmarkStart w:id="3" w:name="n417"/>
      <w:bookmarkEnd w:id="3"/>
      <w:r w:rsidRPr="00704573">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4" w:name="n418"/>
      <w:bookmarkEnd w:id="4"/>
      <w:r w:rsidRPr="00704573">
        <w:rPr>
          <w:rFonts w:ascii="Times New Roman" w:eastAsia="Calibri" w:hAnsi="Times New Roman" w:cs="Times New Roman"/>
          <w:sz w:val="28"/>
          <w:szCs w:val="28"/>
          <w:lang w:val="uk-UA"/>
        </w:rPr>
        <w:t>1) невиконання чи неналежне виконання службових обов’язків;</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5" w:name="n419"/>
      <w:bookmarkEnd w:id="5"/>
      <w:r w:rsidRPr="00704573">
        <w:rPr>
          <w:rFonts w:ascii="Times New Roman" w:eastAsia="Calibri" w:hAnsi="Times New Roman" w:cs="Times New Roman"/>
          <w:sz w:val="28"/>
          <w:szCs w:val="28"/>
          <w:lang w:val="uk-UA"/>
        </w:rPr>
        <w:t>2) необґрунтоване зволікання з розглядом звернення;</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6" w:name="n420"/>
      <w:bookmarkEnd w:id="6"/>
      <w:r w:rsidRPr="00704573">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7" w:name="n421"/>
      <w:bookmarkEnd w:id="7"/>
      <w:r w:rsidRPr="00704573">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9" w:name="n422"/>
      <w:bookmarkEnd w:id="9"/>
      <w:r w:rsidRPr="00704573">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0" w:name="n423"/>
      <w:bookmarkEnd w:id="10"/>
      <w:r w:rsidRPr="00704573">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1" w:name="n424"/>
      <w:bookmarkEnd w:id="11"/>
      <w:r w:rsidRPr="00704573">
        <w:rPr>
          <w:rFonts w:ascii="Times New Roman" w:eastAsia="Calibri" w:hAnsi="Times New Roman" w:cs="Times New Roman"/>
          <w:sz w:val="28"/>
          <w:szCs w:val="28"/>
          <w:lang w:val="uk-UA"/>
        </w:rPr>
        <w:t>7) порушення правил внутрішнього службового розпорядку;</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2" w:name="n425"/>
      <w:bookmarkEnd w:id="12"/>
      <w:r w:rsidRPr="00704573">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3" w:name="n426"/>
      <w:bookmarkEnd w:id="13"/>
      <w:r w:rsidRPr="00704573">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Конструкцію статті 46 Закону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 xml:space="preserve"> </w:t>
      </w:r>
      <w:r w:rsidRPr="00704573">
        <w:rPr>
          <w:rFonts w:ascii="Times New Roman" w:eastAsia="Calibri" w:hAnsi="Times New Roman" w:cs="Times New Roman"/>
          <w:sz w:val="28"/>
          <w:szCs w:val="28"/>
          <w:lang w:val="uk-UA"/>
        </w:rPr>
        <w:t xml:space="preserve">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w:t>
      </w:r>
      <w:r w:rsidRPr="00704573">
        <w:rPr>
          <w:rFonts w:ascii="Times New Roman" w:eastAsia="Calibri" w:hAnsi="Times New Roman" w:cs="Times New Roman"/>
          <w:sz w:val="28"/>
          <w:szCs w:val="28"/>
          <w:lang w:val="uk-UA"/>
        </w:rPr>
        <w:lastRenderedPageBreak/>
        <w:t>прокурора можливе лише за відсутності таких обставин:</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4" w:name="n441"/>
      <w:bookmarkEnd w:id="14"/>
      <w:r w:rsidRPr="00704573">
        <w:rPr>
          <w:rFonts w:ascii="Times New Roman" w:eastAsia="Calibri" w:hAnsi="Times New Roman" w:cs="Times New Roman"/>
          <w:sz w:val="28"/>
          <w:szCs w:val="28"/>
          <w:lang w:val="uk-UA"/>
        </w:rPr>
        <w:t>2) дисциплінарна скарга є анонімною;</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5" w:name="n442"/>
      <w:bookmarkEnd w:id="15"/>
      <w:r w:rsidRPr="00704573">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704573">
          <w:rPr>
            <w:rFonts w:ascii="Times New Roman" w:eastAsia="Calibri" w:hAnsi="Times New Roman" w:cs="Times New Roman"/>
            <w:sz w:val="28"/>
            <w:szCs w:val="28"/>
            <w:lang w:val="uk-UA"/>
          </w:rPr>
          <w:t>статтею 43</w:t>
        </w:r>
      </w:hyperlink>
      <w:r w:rsidRPr="00704573">
        <w:rPr>
          <w:rFonts w:ascii="Times New Roman" w:eastAsia="Calibri" w:hAnsi="Times New Roman" w:cs="Times New Roman"/>
          <w:sz w:val="28"/>
          <w:szCs w:val="28"/>
          <w:lang w:val="uk-UA"/>
        </w:rPr>
        <w:t> цього Закону;</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6" w:name="n443"/>
      <w:bookmarkEnd w:id="16"/>
      <w:r w:rsidRPr="0070457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704573">
          <w:rPr>
            <w:rFonts w:ascii="Times New Roman" w:eastAsia="Calibri" w:hAnsi="Times New Roman" w:cs="Times New Roman"/>
            <w:sz w:val="28"/>
            <w:szCs w:val="28"/>
            <w:lang w:val="uk-UA"/>
          </w:rPr>
          <w:t> статтею 51</w:t>
        </w:r>
      </w:hyperlink>
      <w:r w:rsidRPr="00704573">
        <w:rPr>
          <w:rFonts w:ascii="Times New Roman" w:eastAsia="Calibri" w:hAnsi="Times New Roman" w:cs="Times New Roman"/>
          <w:sz w:val="28"/>
          <w:szCs w:val="28"/>
          <w:lang w:val="uk-UA"/>
        </w:rPr>
        <w:t> цього Закону;</w:t>
      </w:r>
      <w:bookmarkStart w:id="17" w:name="n1893"/>
      <w:bookmarkEnd w:id="17"/>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8" w:name="n444"/>
      <w:bookmarkEnd w:id="18"/>
      <w:r w:rsidRPr="00704573">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Вимогою Закону № 1697-</w:t>
      </w:r>
      <w:r w:rsidRPr="00704573">
        <w:rPr>
          <w:rFonts w:ascii="Times New Roman" w:eastAsia="Calibri" w:hAnsi="Times New Roman" w:cs="Times New Roman"/>
          <w:sz w:val="28"/>
          <w:szCs w:val="28"/>
          <w:lang w:val="en-US"/>
        </w:rPr>
        <w:t>VII</w:t>
      </w:r>
      <w:r w:rsidRPr="00704573">
        <w:rPr>
          <w:rFonts w:ascii="Times New Roman" w:eastAsia="Calibri" w:hAnsi="Times New Roman" w:cs="Times New Roman"/>
          <w:sz w:val="28"/>
          <w:szCs w:val="28"/>
          <w:lang w:val="uk-UA"/>
        </w:rPr>
        <w:t xml:space="preserve"> </w:t>
      </w:r>
      <w:r w:rsidRPr="00704573">
        <w:rPr>
          <w:rFonts w:ascii="Times New Roman" w:eastAsia="Calibri" w:hAnsi="Times New Roman" w:cs="Times New Roman"/>
          <w:sz w:val="28"/>
          <w:szCs w:val="28"/>
          <w:lang w:val="uk-UA"/>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936A94" w:rsidRPr="00704573" w:rsidRDefault="00936A94" w:rsidP="00A324F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rsidR="00936A94" w:rsidRPr="00704573" w:rsidRDefault="00936A94" w:rsidP="00A324F6">
      <w:pPr>
        <w:widowControl w:val="0"/>
        <w:shd w:val="clear" w:color="auto" w:fill="FFFFFF"/>
        <w:tabs>
          <w:tab w:val="left" w:pos="993"/>
        </w:tabs>
        <w:spacing w:after="0" w:line="240" w:lineRule="auto"/>
        <w:ind w:right="-284" w:firstLine="567"/>
        <w:contextualSpacing/>
        <w:jc w:val="both"/>
        <w:rPr>
          <w:rFonts w:ascii="Times New Roman" w:eastAsia="Times New Roman" w:hAnsi="Times New Roman" w:cs="Times New Roman"/>
          <w:b/>
          <w:sz w:val="28"/>
          <w:szCs w:val="28"/>
          <w:lang w:val="uk-UA" w:eastAsia="ru-RU"/>
        </w:rPr>
      </w:pPr>
    </w:p>
    <w:p w:rsidR="00936A94" w:rsidRPr="00704573" w:rsidRDefault="00936A94" w:rsidP="00A324F6">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70457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936A94" w:rsidRPr="00D37A3A"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37A3A">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936A94" w:rsidRPr="00D37A3A"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37A3A">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D37A3A">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Дисциплінарна скарга адвоката </w:t>
      </w:r>
      <w:r>
        <w:rPr>
          <w:rFonts w:ascii="Times New Roman" w:eastAsia="Calibri" w:hAnsi="Times New Roman" w:cs="Times New Roman"/>
          <w:sz w:val="28"/>
          <w:szCs w:val="28"/>
          <w:lang w:val="uk-UA"/>
        </w:rPr>
        <w:t>ОСОБА 1 </w:t>
      </w:r>
      <w:r w:rsidRPr="00704573">
        <w:rPr>
          <w:rFonts w:ascii="Times New Roman" w:eastAsia="Calibri" w:hAnsi="Times New Roman" w:cs="Times New Roman"/>
          <w:sz w:val="28"/>
          <w:szCs w:val="28"/>
          <w:lang w:val="uk-UA"/>
        </w:rPr>
        <w:t xml:space="preserve">стосується рішень, дій </w:t>
      </w:r>
      <w:r w:rsidRPr="00704573">
        <w:rPr>
          <w:rFonts w:ascii="Times New Roman" w:eastAsia="Calibri" w:hAnsi="Times New Roman" w:cs="Times New Roman"/>
          <w:sz w:val="28"/>
          <w:szCs w:val="28"/>
          <w:lang w:val="uk-UA"/>
        </w:rPr>
        <w:br/>
        <w:t>та бездіяльності прокурора, вчинених (допущених) в межах кримінального процесу.</w:t>
      </w:r>
    </w:p>
    <w:p w:rsid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Комісії в передбаченому КПК України порядку.</w:t>
      </w:r>
    </w:p>
    <w:p w:rsid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Скаржником вказано, що майно </w:t>
      </w:r>
      <w:r>
        <w:rPr>
          <w:rFonts w:ascii="Times New Roman" w:eastAsia="Calibri" w:hAnsi="Times New Roman" w:cs="Times New Roman"/>
          <w:sz w:val="28"/>
          <w:szCs w:val="28"/>
          <w:lang w:val="uk-UA"/>
        </w:rPr>
        <w:t>ОСОБА 2</w:t>
      </w:r>
      <w:r w:rsidRPr="00704573">
        <w:rPr>
          <w:rFonts w:ascii="Times New Roman" w:eastAsia="Calibri" w:hAnsi="Times New Roman" w:cs="Times New Roman"/>
          <w:sz w:val="28"/>
          <w:szCs w:val="28"/>
          <w:lang w:val="uk-UA"/>
        </w:rPr>
        <w:t xml:space="preserve"> вилучено співробітниками Головного слідчого управління Національної поліції України, а також ними безпідставно утримано таке майно. Отже, відомості про можливе безпідставне </w:t>
      </w:r>
      <w:r w:rsidRPr="00704573">
        <w:rPr>
          <w:rFonts w:ascii="Times New Roman" w:eastAsia="Calibri" w:hAnsi="Times New Roman" w:cs="Times New Roman"/>
          <w:sz w:val="28"/>
          <w:szCs w:val="28"/>
          <w:lang w:val="uk-UA"/>
        </w:rPr>
        <w:lastRenderedPageBreak/>
        <w:t>неповернення майна за рішенням суду стосуються дій чи бездіяльності органу досудового розслідування.</w:t>
      </w:r>
    </w:p>
    <w:p w:rsid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87354B">
        <w:rPr>
          <w:rFonts w:ascii="Times New Roman" w:eastAsia="Calibri" w:hAnsi="Times New Roman" w:cs="Times New Roman"/>
          <w:sz w:val="28"/>
          <w:szCs w:val="28"/>
          <w:lang w:val="uk-UA"/>
        </w:rPr>
        <w:t>Скаржником не надано документального підтвердження оскарження дій зазначеного прокурора у встановленому статтями 303-308 КПК України порядку чи прокурору вищого рівня</w:t>
      </w:r>
      <w:r>
        <w:rPr>
          <w:rFonts w:ascii="Times New Roman" w:eastAsia="Calibri" w:hAnsi="Times New Roman" w:cs="Times New Roman"/>
          <w:sz w:val="28"/>
          <w:szCs w:val="28"/>
          <w:lang w:val="uk-UA"/>
        </w:rPr>
        <w:t>. Д</w:t>
      </w:r>
      <w:r w:rsidRPr="00704573">
        <w:rPr>
          <w:rFonts w:ascii="Times New Roman" w:eastAsia="Calibri" w:hAnsi="Times New Roman" w:cs="Times New Roman"/>
          <w:sz w:val="28"/>
          <w:szCs w:val="28"/>
          <w:lang w:val="uk-UA"/>
        </w:rPr>
        <w:t>исциплінарна скарга та додатки до неї не містять документів із яких можливо встановити, що дії або бездіяльність саме прокурора Ковальова І.І.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936A94" w:rsidRPr="0087354B"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87354B">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w:t>
      </w:r>
    </w:p>
    <w:p w:rsidR="00936A94" w:rsidRPr="00B0286C"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Доводи скаржника щодо допущених Ковальовим І.І. порушень вимог законодавства мають загально-формальний характер та зведені до тлумачення норм законодавства, судових рішень з посиланням на власну оцінку обставин справи.</w:t>
      </w:r>
    </w:p>
    <w:p w:rsidR="00936A94" w:rsidRPr="00B0286C"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 xml:space="preserve">З урахуванням викладеного, дисциплінарна скарга не містить конкретних відомостей про невиконання або неналежне виконання </w:t>
      </w:r>
      <w:r>
        <w:rPr>
          <w:rFonts w:ascii="Times New Roman" w:eastAsia="Calibri" w:hAnsi="Times New Roman" w:cs="Times New Roman"/>
          <w:sz w:val="28"/>
          <w:szCs w:val="28"/>
          <w:lang w:val="uk-UA"/>
        </w:rPr>
        <w:t>Ковальовим І.І.</w:t>
      </w:r>
      <w:r w:rsidRPr="00B0286C">
        <w:rPr>
          <w:rFonts w:ascii="Times New Roman" w:eastAsia="Calibri" w:hAnsi="Times New Roman" w:cs="Times New Roman"/>
          <w:sz w:val="28"/>
          <w:szCs w:val="28"/>
          <w:lang w:val="uk-UA"/>
        </w:rPr>
        <w:t xml:space="preserve"> службових обов’язків. </w:t>
      </w:r>
    </w:p>
    <w:p w:rsidR="00936A94" w:rsidRPr="00B0286C"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w:t>
      </w:r>
      <w:r w:rsidRPr="00B0286C">
        <w:rPr>
          <w:rFonts w:ascii="Times New Roman" w:eastAsia="Calibri" w:hAnsi="Times New Roman" w:cs="Times New Roman"/>
          <w:sz w:val="28"/>
          <w:szCs w:val="28"/>
          <w:lang w:val="uk-UA"/>
        </w:rPr>
        <w:t>9901/565/18).</w:t>
      </w:r>
    </w:p>
    <w:p w:rsidR="00936A94" w:rsidRPr="00B0286C"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936A94" w:rsidRPr="00B0286C"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936A94" w:rsidRPr="00B0286C"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 xml:space="preserve">Незгода особи із рішеннями (діями) прокурорів не може автоматично мати наслідком їх дисциплінарну відповідальність. </w:t>
      </w:r>
    </w:p>
    <w:p w:rsidR="00936A94" w:rsidRPr="00B0286C"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0286C">
        <w:rPr>
          <w:rFonts w:ascii="Times New Roman" w:eastAsia="Calibri" w:hAnsi="Times New Roman" w:cs="Times New Roman"/>
          <w:sz w:val="28"/>
          <w:szCs w:val="28"/>
          <w:lang w:val="uk-UA"/>
        </w:rPr>
        <w:t xml:space="preserve">Із наведених скаржницею доводів не вбачається, що </w:t>
      </w:r>
      <w:r>
        <w:rPr>
          <w:rFonts w:ascii="Times New Roman" w:eastAsia="Calibri" w:hAnsi="Times New Roman" w:cs="Times New Roman"/>
          <w:sz w:val="28"/>
          <w:szCs w:val="28"/>
          <w:lang w:val="uk-UA"/>
        </w:rPr>
        <w:t>Ковальовим</w:t>
      </w:r>
      <w:r>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І.І.</w:t>
      </w:r>
      <w:r w:rsidRPr="00B0286C">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p>
    <w:p w:rsid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На підставі викладеного доходжу висновку, що дисциплінарна скарга не</w:t>
      </w:r>
      <w:r>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 xml:space="preserve">містить конкретних відомостей про наявність ознак дисциплінарного </w:t>
      </w:r>
      <w:r w:rsidRPr="00704573">
        <w:rPr>
          <w:rFonts w:ascii="Times New Roman" w:eastAsia="Calibri" w:hAnsi="Times New Roman" w:cs="Times New Roman"/>
          <w:sz w:val="28"/>
          <w:szCs w:val="28"/>
          <w:lang w:val="uk-UA"/>
        </w:rPr>
        <w:lastRenderedPageBreak/>
        <w:t>проступку, вчиненого прокурором Ковальова І.І., оскільки твердження автора скарги про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Щодо твердження про вчинення прокурором Ковальовим</w:t>
      </w:r>
      <w:r>
        <w:rPr>
          <w:rFonts w:ascii="Times New Roman" w:eastAsia="Calibri" w:hAnsi="Times New Roman" w:cs="Times New Roman"/>
          <w:sz w:val="28"/>
          <w:szCs w:val="28"/>
          <w:lang w:val="uk-UA"/>
        </w:rPr>
        <w:t> </w:t>
      </w:r>
      <w:r w:rsidRPr="00704573">
        <w:rPr>
          <w:rFonts w:ascii="Times New Roman" w:eastAsia="Calibri" w:hAnsi="Times New Roman" w:cs="Times New Roman"/>
          <w:sz w:val="28"/>
          <w:szCs w:val="28"/>
          <w:lang w:val="uk-UA"/>
        </w:rPr>
        <w:t>І.І.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У дисциплінарній скарзі не наведено жодних доводів щодо вчинення прокурором Ковальовим І.І. вищезазначених дій.</w:t>
      </w: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Також скаржником не зазначено конкретних фактів про наявність дій прокурора, що</w:t>
      </w:r>
      <w:r w:rsidRPr="00704573">
        <w:rPr>
          <w:rFonts w:ascii="Times New Roman" w:eastAsia="Calibri" w:hAnsi="Times New Roman" w:cs="Times New Roman"/>
          <w:sz w:val="28"/>
          <w:szCs w:val="28"/>
          <w:lang w:val="uk-UA"/>
        </w:rPr>
        <w:t xml:space="preserve"> утворюють склад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936A94" w:rsidRPr="00704573"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Ковальовим І.І.</w:t>
      </w:r>
    </w:p>
    <w:p w:rsidR="00936A94" w:rsidRDefault="00936A94" w:rsidP="00A324F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Керуючись статтями 44 – 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936A94" w:rsidRPr="00936A94" w:rsidRDefault="00936A94" w:rsidP="00A324F6">
      <w:pPr>
        <w:widowControl w:val="0"/>
        <w:tabs>
          <w:tab w:val="left" w:pos="993"/>
        </w:tabs>
        <w:spacing w:after="0" w:line="240" w:lineRule="auto"/>
        <w:ind w:right="-284"/>
        <w:contextualSpacing/>
        <w:jc w:val="both"/>
        <w:rPr>
          <w:rFonts w:ascii="Times New Roman" w:eastAsia="Calibri" w:hAnsi="Times New Roman" w:cs="Times New Roman"/>
          <w:sz w:val="16"/>
          <w:szCs w:val="16"/>
          <w:lang w:val="uk-UA"/>
        </w:rPr>
      </w:pPr>
    </w:p>
    <w:p w:rsidR="00936A94" w:rsidRPr="00704573" w:rsidRDefault="00936A94" w:rsidP="00A324F6">
      <w:pPr>
        <w:widowControl w:val="0"/>
        <w:tabs>
          <w:tab w:val="left" w:pos="851"/>
          <w:tab w:val="left" w:pos="993"/>
        </w:tabs>
        <w:spacing w:after="0" w:line="240" w:lineRule="auto"/>
        <w:ind w:right="-284"/>
        <w:contextualSpacing/>
        <w:jc w:val="center"/>
        <w:rPr>
          <w:rFonts w:ascii="Times New Roman" w:eastAsia="Calibri" w:hAnsi="Times New Roman" w:cs="Times New Roman"/>
          <w:b/>
          <w:sz w:val="28"/>
          <w:szCs w:val="28"/>
          <w:lang w:val="uk-UA"/>
        </w:rPr>
      </w:pPr>
      <w:r w:rsidRPr="00704573">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704573">
        <w:rPr>
          <w:rFonts w:ascii="Times New Roman" w:eastAsia="Calibri" w:hAnsi="Times New Roman" w:cs="Times New Roman"/>
          <w:b/>
          <w:sz w:val="28"/>
          <w:szCs w:val="28"/>
          <w:lang w:val="uk-UA"/>
        </w:rPr>
        <w:t>:</w:t>
      </w:r>
    </w:p>
    <w:p w:rsidR="00936A94" w:rsidRPr="00936A94" w:rsidRDefault="00936A94" w:rsidP="00A324F6">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16"/>
          <w:szCs w:val="16"/>
          <w:lang w:val="uk-UA"/>
        </w:rPr>
      </w:pPr>
    </w:p>
    <w:p w:rsidR="00936A94"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третього відділу управління процесуального керівництва досудовим </w:t>
      </w:r>
      <w:r w:rsidRPr="00704573">
        <w:rPr>
          <w:rFonts w:ascii="Times New Roman" w:eastAsia="Calibri" w:hAnsi="Times New Roman" w:cs="Times New Roman"/>
          <w:sz w:val="28"/>
          <w:szCs w:val="28"/>
          <w:lang w:val="uk-UA"/>
        </w:rPr>
        <w:lastRenderedPageBreak/>
        <w:t>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Ковальова Івана Ігоровича.</w:t>
      </w:r>
    </w:p>
    <w:p w:rsidR="00936A94" w:rsidRPr="00DE63E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936A94"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04573">
        <w:rPr>
          <w:rFonts w:ascii="Times New Roman" w:eastAsia="Calibri" w:hAnsi="Times New Roman" w:cs="Times New Roman"/>
          <w:sz w:val="28"/>
          <w:szCs w:val="28"/>
          <w:lang w:val="uk-UA"/>
        </w:rPr>
        <w:t>Рішення направити автору скарги та вищезазначеному прокурору.</w:t>
      </w:r>
    </w:p>
    <w:p w:rsidR="00936A94" w:rsidRPr="00704573" w:rsidRDefault="00936A94" w:rsidP="00A324F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936A94" w:rsidRPr="00704573" w:rsidRDefault="00936A94" w:rsidP="00A324F6">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936A94" w:rsidRPr="00704573" w:rsidRDefault="00936A94" w:rsidP="00A324F6">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704573">
        <w:rPr>
          <w:rFonts w:ascii="Times New Roman" w:eastAsia="Calibri" w:hAnsi="Times New Roman" w:cs="Times New Roman"/>
          <w:b/>
          <w:sz w:val="28"/>
          <w:szCs w:val="28"/>
          <w:lang w:val="uk-UA"/>
        </w:rPr>
        <w:t xml:space="preserve">Член Комісії                                                                                 </w:t>
      </w:r>
      <w:r>
        <w:rPr>
          <w:rFonts w:ascii="Times New Roman" w:eastAsia="Calibri" w:hAnsi="Times New Roman" w:cs="Times New Roman"/>
          <w:b/>
          <w:sz w:val="28"/>
          <w:szCs w:val="28"/>
          <w:lang w:val="uk-UA"/>
        </w:rPr>
        <w:t xml:space="preserve">    Ніна ГАРБУЗА</w:t>
      </w:r>
    </w:p>
    <w:p w:rsidR="007859AD" w:rsidRDefault="007859AD"/>
    <w:sectPr w:rsidR="007859AD" w:rsidSect="00A324F6">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CD7" w:rsidRDefault="005E2CD7" w:rsidP="00936A94">
      <w:pPr>
        <w:spacing w:after="0" w:line="240" w:lineRule="auto"/>
      </w:pPr>
      <w:r>
        <w:separator/>
      </w:r>
    </w:p>
  </w:endnote>
  <w:endnote w:type="continuationSeparator" w:id="0">
    <w:p w:rsidR="005E2CD7" w:rsidRDefault="005E2CD7" w:rsidP="0093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CD7" w:rsidRDefault="005E2CD7" w:rsidP="00936A94">
      <w:pPr>
        <w:spacing w:after="0" w:line="240" w:lineRule="auto"/>
      </w:pPr>
      <w:r>
        <w:separator/>
      </w:r>
    </w:p>
  </w:footnote>
  <w:footnote w:type="continuationSeparator" w:id="0">
    <w:p w:rsidR="005E2CD7" w:rsidRDefault="005E2CD7" w:rsidP="0093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499830"/>
      <w:docPartObj>
        <w:docPartGallery w:val="Page Numbers (Top of Page)"/>
        <w:docPartUnique/>
      </w:docPartObj>
    </w:sdtPr>
    <w:sdtContent>
      <w:p w:rsidR="00936A94" w:rsidRDefault="00936A94">
        <w:pPr>
          <w:pStyle w:val="a3"/>
          <w:jc w:val="center"/>
        </w:pPr>
        <w:r>
          <w:fldChar w:fldCharType="begin"/>
        </w:r>
        <w:r>
          <w:instrText>PAGE   \* MERGEFORMAT</w:instrText>
        </w:r>
        <w:r>
          <w:fldChar w:fldCharType="separate"/>
        </w:r>
        <w:r w:rsidR="00A324F6">
          <w:rPr>
            <w:noProof/>
          </w:rPr>
          <w:t>7</w:t>
        </w:r>
        <w:r>
          <w:fldChar w:fldCharType="end"/>
        </w:r>
      </w:p>
    </w:sdtContent>
  </w:sdt>
  <w:p w:rsidR="00936A94" w:rsidRDefault="00936A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94"/>
    <w:rsid w:val="005E2CD7"/>
    <w:rsid w:val="007859AD"/>
    <w:rsid w:val="00936A94"/>
    <w:rsid w:val="00A32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95A4"/>
  <w15:chartTrackingRefBased/>
  <w15:docId w15:val="{41C6C8BE-E485-410B-AEFF-6F17D7C2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A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6A94"/>
  </w:style>
  <w:style w:type="paragraph" w:styleId="a5">
    <w:name w:val="footer"/>
    <w:basedOn w:val="a"/>
    <w:link w:val="a6"/>
    <w:uiPriority w:val="99"/>
    <w:unhideWhenUsed/>
    <w:rsid w:val="00936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6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2458</Words>
  <Characters>14011</Characters>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2025-01-17T07:46:00Z</dcterms:created>
  <dcterms:modified xsi:type="dcterms:W3CDTF">2025-01-17T08:02:00Z</dcterms:modified>
</cp:coreProperties>
</file>