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5A3" w:rsidRPr="006235A3" w:rsidRDefault="006235A3" w:rsidP="007E74BD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Cs w:val="28"/>
          <w:lang w:val="uk-UA"/>
        </w:rPr>
      </w:pPr>
      <w:bookmarkStart w:id="0" w:name="_GoBack"/>
      <w:bookmarkEnd w:id="0"/>
      <w:r w:rsidRPr="006235A3">
        <w:rPr>
          <w:rFonts w:ascii="Times New Roman" w:hAnsi="Times New Roman" w:cs="Times New Roman"/>
          <w:color w:val="auto"/>
          <w:kern w:val="28"/>
          <w:szCs w:val="28"/>
          <w:lang w:val="uk-UA"/>
        </w:rPr>
        <w:t>Практика розгляду дисциплінарних скарг про вчинення прокурором дисциплінарного проступку</w:t>
      </w:r>
    </w:p>
    <w:p w:rsidR="002A26B8" w:rsidRPr="00CD07D7" w:rsidRDefault="002A26B8" w:rsidP="007E74BD">
      <w:pPr>
        <w:spacing w:after="12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 xml:space="preserve">Ураховуючи важливість та актуальність проблеми додержання правил прокурорської етики, беручи до уваги, що недотримання етичних норм унеможливлює належне виконання прокурором своїх службових обов’язків, </w:t>
      </w:r>
      <w:r w:rsidR="00314918"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 xml:space="preserve">Комісією </w:t>
      </w: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вивчен</w:t>
      </w:r>
      <w:r w:rsidR="00314918"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о</w:t>
      </w: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 xml:space="preserve"> практик</w:t>
      </w:r>
      <w:r w:rsidR="00314918"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у</w:t>
      </w: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 xml:space="preserve"> розгляду дисциплінарних скарг про вчинення прокурором дисциплінарного проступку, пов’язаного з порушенням правил прокурорської етики, за 2020 – 2021 роки та І півріччя 2022 року.</w:t>
      </w:r>
    </w:p>
    <w:p w:rsidR="002A26B8" w:rsidRPr="00CD07D7" w:rsidRDefault="00314918" w:rsidP="007E74BD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auto"/>
          <w:szCs w:val="28"/>
          <w:lang w:val="uk-UA"/>
        </w:rPr>
      </w:pPr>
      <w:r w:rsidRPr="00CD07D7">
        <w:rPr>
          <w:rFonts w:ascii="Times New Roman" w:hAnsi="Times New Roman" w:cs="Times New Roman"/>
          <w:b w:val="0"/>
          <w:color w:val="auto"/>
          <w:szCs w:val="28"/>
          <w:lang w:val="uk-UA"/>
        </w:rPr>
        <w:t>Д</w:t>
      </w:r>
      <w:r w:rsidR="002A26B8" w:rsidRPr="00CD07D7">
        <w:rPr>
          <w:rFonts w:ascii="Times New Roman" w:hAnsi="Times New Roman" w:cs="Times New Roman"/>
          <w:b w:val="0"/>
          <w:color w:val="auto"/>
          <w:szCs w:val="28"/>
          <w:lang w:val="uk-UA"/>
        </w:rPr>
        <w:t>исциплінарне провадження стосовно прокурорів у 2020 – 2021 роках та за поточний період 2022 року здійснювалося двома органами:</w:t>
      </w:r>
      <w:r w:rsidR="00CD07D7" w:rsidRPr="00CD07D7">
        <w:rPr>
          <w:rFonts w:ascii="Times New Roman" w:hAnsi="Times New Roman" w:cs="Times New Roman"/>
          <w:b w:val="0"/>
          <w:color w:val="auto"/>
          <w:szCs w:val="28"/>
          <w:lang w:val="uk-UA"/>
        </w:rPr>
        <w:t xml:space="preserve"> </w:t>
      </w:r>
      <w:r w:rsidR="002A26B8" w:rsidRPr="00CD07D7">
        <w:rPr>
          <w:rFonts w:ascii="Times New Roman" w:hAnsi="Times New Roman" w:cs="Times New Roman"/>
          <w:b w:val="0"/>
          <w:color w:val="auto"/>
          <w:szCs w:val="28"/>
          <w:lang w:val="uk-UA"/>
        </w:rPr>
        <w:t>кадровою комісією з розгляду дисциплінарних скарг про вчинення прокурором дисциплінарного проступку та здійснення дисциплінарного провадження щодо прокурорів, яку створено наказом Генерального прокурора від 09 січня 2020 року № 9</w:t>
      </w:r>
      <w:r w:rsidR="00CD07D7">
        <w:rPr>
          <w:rFonts w:ascii="Times New Roman" w:hAnsi="Times New Roman" w:cs="Times New Roman"/>
          <w:b w:val="0"/>
          <w:color w:val="auto"/>
          <w:szCs w:val="28"/>
          <w:lang w:val="uk-UA"/>
        </w:rPr>
        <w:t xml:space="preserve"> </w:t>
      </w:r>
      <w:r w:rsidR="002A26B8" w:rsidRPr="00CD07D7">
        <w:rPr>
          <w:rFonts w:ascii="Times New Roman" w:hAnsi="Times New Roman" w:cs="Times New Roman"/>
          <w:b w:val="0"/>
          <w:color w:val="auto"/>
          <w:szCs w:val="28"/>
          <w:lang w:val="uk-UA"/>
        </w:rPr>
        <w:t xml:space="preserve">(за період з січня </w:t>
      </w:r>
      <w:r w:rsidR="00CD07D7" w:rsidRPr="00CD07D7">
        <w:rPr>
          <w:rFonts w:ascii="Times New Roman" w:hAnsi="Times New Roman" w:cs="Times New Roman"/>
          <w:b w:val="0"/>
          <w:color w:val="auto"/>
          <w:szCs w:val="28"/>
          <w:lang w:val="uk-UA"/>
        </w:rPr>
        <w:t>2020 року до вересня 2021 року)</w:t>
      </w:r>
      <w:r w:rsidR="00CD07D7">
        <w:rPr>
          <w:rFonts w:ascii="Times New Roman" w:hAnsi="Times New Roman" w:cs="Times New Roman"/>
          <w:b w:val="0"/>
          <w:color w:val="auto"/>
          <w:szCs w:val="28"/>
          <w:lang w:val="uk-UA"/>
        </w:rPr>
        <w:t>,</w:t>
      </w:r>
      <w:r w:rsidR="00CD07D7" w:rsidRPr="00CD07D7">
        <w:rPr>
          <w:rFonts w:ascii="Times New Roman" w:hAnsi="Times New Roman" w:cs="Times New Roman"/>
          <w:b w:val="0"/>
          <w:color w:val="auto"/>
          <w:szCs w:val="28"/>
          <w:lang w:val="uk-UA"/>
        </w:rPr>
        <w:t xml:space="preserve"> та </w:t>
      </w:r>
      <w:r w:rsidR="002A26B8" w:rsidRPr="00CD07D7">
        <w:rPr>
          <w:rFonts w:ascii="Times New Roman" w:hAnsi="Times New Roman" w:cs="Times New Roman"/>
          <w:b w:val="0"/>
          <w:color w:val="auto"/>
          <w:szCs w:val="28"/>
          <w:lang w:val="uk-UA"/>
        </w:rPr>
        <w:t>відповідним органом, що здійснює дисциплінарне провадження, який фактично розпочав свою діяльність 3 листопада 2021 року.</w:t>
      </w:r>
    </w:p>
    <w:p w:rsidR="002A26B8" w:rsidRPr="00CD07D7" w:rsidRDefault="002A26B8" w:rsidP="007E74BD">
      <w:pPr>
        <w:spacing w:after="12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 xml:space="preserve">Пунктом 4 частини четвертої статті 19 Закону </w:t>
      </w:r>
      <w:r w:rsid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 xml:space="preserve">передбачено, що </w:t>
      </w: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прокурор зобов’язаний додержуватися правил прокурорської етики, зокрема не допускати поведінки, яка дискредитує його як представника прокуратури та може зашкодити авторитету прокуратури.</w:t>
      </w:r>
    </w:p>
    <w:p w:rsidR="002A26B8" w:rsidRPr="00CD07D7" w:rsidRDefault="002A26B8" w:rsidP="007E74BD">
      <w:pPr>
        <w:spacing w:after="12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Згідно з пунктом 6 частини першої статті 43 Закону однією з підстав для притягнення прокурора до дисциплінарної відповідальності є систематичне (два або більше разів протягом одного року) або одноразове грубе порушення правил прокурорської етики.</w:t>
      </w:r>
    </w:p>
    <w:p w:rsidR="002A26B8" w:rsidRPr="00CD07D7" w:rsidRDefault="002A26B8" w:rsidP="007E74BD">
      <w:pPr>
        <w:spacing w:after="12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Затверджений всеукраїнською конференцією прокурорів 27 квітня 2017 року Кодекс професійної етики та поведінки прокурорів (далі – Кодекс) визначає основні принципи, моральні норми та правила прокурорської етики, якими повинні керуватися прокурори при виконанні своїх службових обов’язків та поза службою. Кодексом визначен</w:t>
      </w:r>
      <w:r w:rsid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о</w:t>
      </w: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 xml:space="preserve"> основні принципи професійної етики та поведінки прокурорів:</w:t>
      </w:r>
    </w:p>
    <w:p w:rsidR="002A26B8" w:rsidRPr="00CD07D7" w:rsidRDefault="002A26B8" w:rsidP="002B6700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–</w:t>
      </w: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ab/>
        <w:t>верховенства права та законності;</w:t>
      </w:r>
    </w:p>
    <w:p w:rsidR="002A26B8" w:rsidRPr="00CD07D7" w:rsidRDefault="002A26B8" w:rsidP="002B6700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–</w:t>
      </w: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ab/>
        <w:t>поваги до прав і свобод людини і громадянина, недопущення дискримінації;</w:t>
      </w:r>
    </w:p>
    <w:p w:rsidR="002A26B8" w:rsidRPr="00CD07D7" w:rsidRDefault="002A26B8" w:rsidP="002B6700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–</w:t>
      </w: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ab/>
        <w:t>незалежності та самостійності;</w:t>
      </w:r>
    </w:p>
    <w:p w:rsidR="002A26B8" w:rsidRPr="00CD07D7" w:rsidRDefault="002A26B8" w:rsidP="002B6700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–</w:t>
      </w: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ab/>
        <w:t>політичної нейтральності;</w:t>
      </w:r>
    </w:p>
    <w:p w:rsidR="002A26B8" w:rsidRPr="00CD07D7" w:rsidRDefault="002A26B8" w:rsidP="002B6700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–</w:t>
      </w: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ab/>
        <w:t>презумпції невинуватості;</w:t>
      </w:r>
    </w:p>
    <w:p w:rsidR="002A26B8" w:rsidRPr="00CD07D7" w:rsidRDefault="002A26B8" w:rsidP="002B6700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–</w:t>
      </w: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ab/>
        <w:t>справедливості, неупередженості та об’єктивності;</w:t>
      </w:r>
    </w:p>
    <w:p w:rsidR="002A26B8" w:rsidRPr="00CD07D7" w:rsidRDefault="002A26B8" w:rsidP="002B6700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–</w:t>
      </w: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ab/>
        <w:t>професійної честі і гідності, формування довіри до прокуратури;</w:t>
      </w:r>
    </w:p>
    <w:p w:rsidR="002A26B8" w:rsidRPr="00CD07D7" w:rsidRDefault="002A26B8" w:rsidP="002B6700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–</w:t>
      </w: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ab/>
        <w:t>прозорості службової діяльності, конфіденційності;</w:t>
      </w:r>
    </w:p>
    <w:p w:rsidR="002A26B8" w:rsidRPr="00CD07D7" w:rsidRDefault="002A26B8" w:rsidP="002B6700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–</w:t>
      </w: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ab/>
        <w:t>утримання від виконання незаконних наказів та вказівок;</w:t>
      </w:r>
    </w:p>
    <w:p w:rsidR="002A26B8" w:rsidRPr="00CD07D7" w:rsidRDefault="002A26B8" w:rsidP="002B6700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–</w:t>
      </w: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ab/>
        <w:t>недопущення конфлікту інтересів;</w:t>
      </w:r>
    </w:p>
    <w:p w:rsidR="002A26B8" w:rsidRPr="00CD07D7" w:rsidRDefault="002A26B8" w:rsidP="002B6700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–</w:t>
      </w: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ab/>
        <w:t>компетентності та професіоналізму;</w:t>
      </w:r>
    </w:p>
    <w:p w:rsidR="002A26B8" w:rsidRPr="00CD07D7" w:rsidRDefault="002A26B8" w:rsidP="002B6700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–</w:t>
      </w: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ab/>
        <w:t>доброчесності, зразковості поведінки та дисциплінованості;</w:t>
      </w:r>
    </w:p>
    <w:p w:rsidR="002A26B8" w:rsidRPr="00CD07D7" w:rsidRDefault="002A26B8" w:rsidP="002B6700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–</w:t>
      </w: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ab/>
        <w:t>поваги до незалежності суддів.</w:t>
      </w:r>
    </w:p>
    <w:p w:rsidR="002A26B8" w:rsidRPr="00CD07D7" w:rsidRDefault="002A26B8" w:rsidP="007E74BD">
      <w:pPr>
        <w:spacing w:after="12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lastRenderedPageBreak/>
        <w:t>Також, Кодекс містить основні вимоги до позаслужбової поведінки прокурора (розділ ІІІ) та засади взаємовідносин прокурора з органами державної влади і місцевого самоврядування, правоохоронним органами, органами судової влади та іншими учасниками судочинства, засобами масової інформації, взаємовідносин у колективах прокуратур, керівного складу із підпорядкованими працівниками та з громадянами (розділ IV).</w:t>
      </w:r>
    </w:p>
    <w:p w:rsidR="002A26B8" w:rsidRPr="00CD07D7" w:rsidRDefault="00CD07D7" w:rsidP="007E74BD">
      <w:pPr>
        <w:pStyle w:val="rvps2"/>
        <w:shd w:val="clear" w:color="auto" w:fill="FFFFFF"/>
        <w:tabs>
          <w:tab w:val="left" w:pos="709"/>
        </w:tabs>
        <w:spacing w:before="0" w:beforeAutospacing="0" w:after="120" w:afterAutospacing="0"/>
        <w:jc w:val="both"/>
        <w:rPr>
          <w:b/>
          <w:kern w:val="28"/>
          <w:sz w:val="28"/>
          <w:szCs w:val="28"/>
          <w:lang w:val="uk-UA"/>
        </w:rPr>
      </w:pPr>
      <w:r>
        <w:rPr>
          <w:rFonts w:eastAsiaTheme="minorEastAsia"/>
          <w:kern w:val="28"/>
          <w:sz w:val="28"/>
          <w:szCs w:val="28"/>
          <w:lang w:val="uk-UA"/>
        </w:rPr>
        <w:tab/>
      </w:r>
      <w:r w:rsidR="002A26B8" w:rsidRPr="00CD07D7">
        <w:rPr>
          <w:kern w:val="28"/>
          <w:sz w:val="28"/>
          <w:szCs w:val="28"/>
          <w:lang w:val="uk-UA"/>
        </w:rPr>
        <w:t>Загалом за 2020 – 2021 роки та І півріччя 2022 року до кадрової комісії та Комісії надійшло 2435 дисциплінарних скарг, з яких 509 – за пунктом 6 частини першої статті 43 Закону.</w:t>
      </w:r>
    </w:p>
    <w:p w:rsidR="002A26B8" w:rsidRPr="00CD07D7" w:rsidRDefault="002A26B8" w:rsidP="002A26B8">
      <w:pPr>
        <w:spacing w:after="240" w:line="240" w:lineRule="auto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 w:rsidRPr="00CD07D7">
        <w:rPr>
          <w:rFonts w:ascii="Times New Roman" w:hAnsi="Times New Roman" w:cs="Times New Roman"/>
          <w:b w:val="0"/>
          <w:noProof/>
          <w:color w:val="auto"/>
          <w:kern w:val="28"/>
          <w:szCs w:val="28"/>
          <w:lang w:val="uk-UA" w:eastAsia="uk-UA"/>
        </w:rPr>
        <w:drawing>
          <wp:inline distT="0" distB="0" distL="0" distR="0" wp14:anchorId="6E2583D4" wp14:editId="303F4AB0">
            <wp:extent cx="6191250" cy="28956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A26B8" w:rsidRPr="002A26B8" w:rsidRDefault="002A26B8" w:rsidP="002A26B8">
      <w:pPr>
        <w:spacing w:after="240" w:line="240" w:lineRule="auto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</w:p>
    <w:p w:rsidR="002A26B8" w:rsidRDefault="002A26B8" w:rsidP="002A26B8">
      <w:pPr>
        <w:spacing w:after="240" w:line="240" w:lineRule="auto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 w:rsidRPr="002A26B8">
        <w:rPr>
          <w:rFonts w:ascii="Times New Roman" w:hAnsi="Times New Roman" w:cs="Times New Roman"/>
          <w:b w:val="0"/>
          <w:noProof/>
          <w:color w:val="auto"/>
          <w:kern w:val="28"/>
          <w:szCs w:val="28"/>
          <w:lang w:val="uk-UA" w:eastAsia="uk-UA"/>
        </w:rPr>
        <w:drawing>
          <wp:inline distT="0" distB="0" distL="0" distR="0" wp14:anchorId="0721005B" wp14:editId="1817624D">
            <wp:extent cx="6048375" cy="2838615"/>
            <wp:effectExtent l="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B6700" w:rsidRPr="002B6700" w:rsidRDefault="002B6700" w:rsidP="007E74BD">
      <w:pPr>
        <w:spacing w:after="12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 w:rsidRPr="002B6700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 xml:space="preserve">Питання можливого порушення правил прокурорської етики ставилося майже у кожній п’ятій дисциплінарній скарзі, які надходили у 2020 – 2021 роках. У поточному році така тенденція дещо змінилася – вказане питання порушується у майже кожній сьомій скарзі. Зазначене, серед іншого, можна пояснити </w:t>
      </w:r>
      <w:r w:rsidRPr="002B6700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lastRenderedPageBreak/>
        <w:t>універсальністю правил прокурорської етики, які стосуються широкого кола питань як у службовій діяльності прокурора, так і поза службою. Таким чином, чимало порушень (або можливих порушень) прокурором законодавства можуть тлумачитися як порушення тієї чи іншої статті Кодексу. У той же час, у багатьох випадках в дисциплінарних скаргах навіть не розкривається (не конкретизується) порушення правил прокурорської етики.</w:t>
      </w:r>
    </w:p>
    <w:p w:rsidR="002A26B8" w:rsidRPr="00CD07D7" w:rsidRDefault="002A26B8" w:rsidP="002A26B8">
      <w:pPr>
        <w:spacing w:before="240" w:after="160" w:line="240" w:lineRule="auto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 w:rsidRPr="00CD07D7">
        <w:rPr>
          <w:rFonts w:ascii="Times New Roman" w:hAnsi="Times New Roman" w:cs="Times New Roman"/>
          <w:b w:val="0"/>
          <w:noProof/>
          <w:color w:val="auto"/>
          <w:kern w:val="28"/>
          <w:szCs w:val="28"/>
          <w:shd w:val="clear" w:color="auto" w:fill="FFFFFF" w:themeFill="background1"/>
          <w:lang w:val="uk-UA" w:eastAsia="uk-UA"/>
        </w:rPr>
        <w:drawing>
          <wp:inline distT="0" distB="0" distL="0" distR="0" wp14:anchorId="5422E323" wp14:editId="59709446">
            <wp:extent cx="6096000" cy="3105150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A26B8" w:rsidRPr="00CD07D7" w:rsidRDefault="002B6700" w:rsidP="002B6700">
      <w:pPr>
        <w:spacing w:after="240" w:line="240" w:lineRule="auto"/>
        <w:ind w:firstLine="708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Д</w:t>
      </w:r>
      <w:r w:rsidR="002A26B8"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исциплінарні скарги про вчинення прокурором дисциплінарного проступку, пов’язаного з порушенням правил прокурорської етики, стосувалися достатньо широкого спектру порушень (або можливих порушень) вимог Кодексу: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932"/>
      </w:tblGrid>
      <w:tr w:rsidR="00CD07D7" w:rsidRPr="00CD07D7" w:rsidTr="004E147A">
        <w:tc>
          <w:tcPr>
            <w:tcW w:w="1696" w:type="dxa"/>
          </w:tcPr>
          <w:p w:rsidR="002A26B8" w:rsidRPr="00CD07D7" w:rsidRDefault="002A26B8" w:rsidP="004E147A">
            <w:pPr>
              <w:tabs>
                <w:tab w:val="left" w:pos="285"/>
              </w:tabs>
              <w:spacing w:after="120"/>
              <w:jc w:val="both"/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</w:pPr>
            <w:r w:rsidRPr="00CD07D7"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  <w:t>–</w:t>
            </w:r>
            <w:r w:rsidRPr="00CD07D7"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  <w:tab/>
              <w:t>статті 4</w:t>
            </w:r>
          </w:p>
        </w:tc>
        <w:tc>
          <w:tcPr>
            <w:tcW w:w="7932" w:type="dxa"/>
          </w:tcPr>
          <w:p w:rsidR="002A26B8" w:rsidRPr="00CD07D7" w:rsidRDefault="002A26B8" w:rsidP="004E147A">
            <w:pPr>
              <w:spacing w:after="120"/>
              <w:jc w:val="both"/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</w:pPr>
            <w:r w:rsidRPr="00CD07D7"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  <w:t>«Основні принципи професійної етики та поведінки прокурорів»;</w:t>
            </w:r>
          </w:p>
        </w:tc>
      </w:tr>
      <w:tr w:rsidR="00CD07D7" w:rsidRPr="00CD07D7" w:rsidTr="004E147A">
        <w:tc>
          <w:tcPr>
            <w:tcW w:w="1696" w:type="dxa"/>
          </w:tcPr>
          <w:p w:rsidR="002A26B8" w:rsidRPr="00CD07D7" w:rsidRDefault="002A26B8" w:rsidP="004E147A">
            <w:pPr>
              <w:tabs>
                <w:tab w:val="left" w:pos="300"/>
              </w:tabs>
              <w:spacing w:after="120"/>
              <w:jc w:val="both"/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</w:pPr>
            <w:r w:rsidRPr="00CD07D7"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  <w:t>–</w:t>
            </w:r>
            <w:r w:rsidRPr="00CD07D7"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  <w:tab/>
              <w:t>статті 5</w:t>
            </w:r>
          </w:p>
        </w:tc>
        <w:tc>
          <w:tcPr>
            <w:tcW w:w="7932" w:type="dxa"/>
          </w:tcPr>
          <w:p w:rsidR="002A26B8" w:rsidRPr="00CD07D7" w:rsidRDefault="002A26B8" w:rsidP="004E147A">
            <w:pPr>
              <w:spacing w:after="120"/>
              <w:jc w:val="both"/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</w:pPr>
            <w:r w:rsidRPr="00CD07D7"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  <w:t>«Верховенство права та законність»;</w:t>
            </w:r>
          </w:p>
        </w:tc>
      </w:tr>
      <w:tr w:rsidR="00CD07D7" w:rsidRPr="00CD07D7" w:rsidTr="004E147A">
        <w:tc>
          <w:tcPr>
            <w:tcW w:w="1696" w:type="dxa"/>
          </w:tcPr>
          <w:p w:rsidR="002A26B8" w:rsidRPr="00CD07D7" w:rsidRDefault="002A26B8" w:rsidP="004E147A">
            <w:pPr>
              <w:tabs>
                <w:tab w:val="left" w:pos="285"/>
              </w:tabs>
              <w:spacing w:after="120"/>
              <w:jc w:val="both"/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</w:pPr>
            <w:r w:rsidRPr="00CD07D7"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  <w:t>–</w:t>
            </w:r>
            <w:r w:rsidRPr="00CD07D7"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  <w:tab/>
              <w:t>статті 6</w:t>
            </w:r>
          </w:p>
        </w:tc>
        <w:tc>
          <w:tcPr>
            <w:tcW w:w="7932" w:type="dxa"/>
          </w:tcPr>
          <w:p w:rsidR="002A26B8" w:rsidRPr="00CD07D7" w:rsidRDefault="002A26B8" w:rsidP="004E147A">
            <w:pPr>
              <w:spacing w:after="120"/>
              <w:jc w:val="both"/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</w:pPr>
            <w:r w:rsidRPr="00CD07D7"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  <w:t>«Повага до прав і свобод людини і громадянина, недопущення дискримінації»;</w:t>
            </w:r>
          </w:p>
        </w:tc>
      </w:tr>
      <w:tr w:rsidR="00CD07D7" w:rsidRPr="00CD07D7" w:rsidTr="004E147A">
        <w:tc>
          <w:tcPr>
            <w:tcW w:w="1696" w:type="dxa"/>
          </w:tcPr>
          <w:p w:rsidR="002A26B8" w:rsidRPr="00CD07D7" w:rsidRDefault="002A26B8" w:rsidP="004E147A">
            <w:pPr>
              <w:tabs>
                <w:tab w:val="left" w:pos="240"/>
              </w:tabs>
              <w:spacing w:after="120"/>
              <w:jc w:val="both"/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</w:pPr>
            <w:r w:rsidRPr="00CD07D7"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  <w:t>–</w:t>
            </w:r>
            <w:r w:rsidRPr="00CD07D7"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  <w:tab/>
              <w:t>статті 9</w:t>
            </w:r>
          </w:p>
        </w:tc>
        <w:tc>
          <w:tcPr>
            <w:tcW w:w="7932" w:type="dxa"/>
          </w:tcPr>
          <w:p w:rsidR="002A26B8" w:rsidRPr="00CD07D7" w:rsidRDefault="002A26B8" w:rsidP="004E147A">
            <w:pPr>
              <w:spacing w:after="120"/>
              <w:jc w:val="both"/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</w:pPr>
            <w:r w:rsidRPr="00CD07D7"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  <w:t>«Презумпція невинуватості»;</w:t>
            </w:r>
          </w:p>
        </w:tc>
      </w:tr>
      <w:tr w:rsidR="00CD07D7" w:rsidRPr="00CD07D7" w:rsidTr="004E147A">
        <w:tc>
          <w:tcPr>
            <w:tcW w:w="1696" w:type="dxa"/>
          </w:tcPr>
          <w:p w:rsidR="002A26B8" w:rsidRPr="00CD07D7" w:rsidRDefault="002A26B8" w:rsidP="004E147A">
            <w:pPr>
              <w:tabs>
                <w:tab w:val="left" w:pos="255"/>
              </w:tabs>
              <w:spacing w:after="120"/>
              <w:jc w:val="both"/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</w:pPr>
            <w:r w:rsidRPr="00CD07D7"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  <w:t>–</w:t>
            </w:r>
            <w:r w:rsidRPr="00CD07D7"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  <w:tab/>
              <w:t>статті 10</w:t>
            </w:r>
          </w:p>
        </w:tc>
        <w:tc>
          <w:tcPr>
            <w:tcW w:w="7932" w:type="dxa"/>
          </w:tcPr>
          <w:p w:rsidR="002A26B8" w:rsidRPr="00CD07D7" w:rsidRDefault="002A26B8" w:rsidP="004E147A">
            <w:pPr>
              <w:tabs>
                <w:tab w:val="left" w:pos="426"/>
              </w:tabs>
              <w:spacing w:after="120"/>
              <w:jc w:val="both"/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</w:pPr>
            <w:r w:rsidRPr="00CD07D7"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  <w:t>«Справедливість, неупередженість та об’єктивність»;</w:t>
            </w:r>
          </w:p>
        </w:tc>
      </w:tr>
      <w:tr w:rsidR="00CD07D7" w:rsidRPr="00CD07D7" w:rsidTr="004E147A">
        <w:tc>
          <w:tcPr>
            <w:tcW w:w="1696" w:type="dxa"/>
          </w:tcPr>
          <w:p w:rsidR="002A26B8" w:rsidRPr="00CD07D7" w:rsidRDefault="002A26B8" w:rsidP="004E147A">
            <w:pPr>
              <w:tabs>
                <w:tab w:val="left" w:pos="255"/>
              </w:tabs>
              <w:spacing w:after="120"/>
              <w:jc w:val="both"/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</w:pPr>
            <w:r w:rsidRPr="00CD07D7"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  <w:t>–</w:t>
            </w:r>
            <w:r w:rsidRPr="00CD07D7"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  <w:tab/>
              <w:t>статті 11</w:t>
            </w:r>
          </w:p>
        </w:tc>
        <w:tc>
          <w:tcPr>
            <w:tcW w:w="7932" w:type="dxa"/>
          </w:tcPr>
          <w:p w:rsidR="002A26B8" w:rsidRPr="00CD07D7" w:rsidRDefault="002A26B8" w:rsidP="004E147A">
            <w:pPr>
              <w:spacing w:after="120"/>
              <w:jc w:val="both"/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</w:pPr>
            <w:r w:rsidRPr="00CD07D7"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  <w:t>«Професійна честь і гідність. Формування довіри до прокуратури»;</w:t>
            </w:r>
          </w:p>
        </w:tc>
      </w:tr>
      <w:tr w:rsidR="00CD07D7" w:rsidRPr="00CD07D7" w:rsidTr="004E147A">
        <w:tc>
          <w:tcPr>
            <w:tcW w:w="1696" w:type="dxa"/>
          </w:tcPr>
          <w:p w:rsidR="002A26B8" w:rsidRPr="00CD07D7" w:rsidRDefault="002A26B8" w:rsidP="004E147A">
            <w:pPr>
              <w:tabs>
                <w:tab w:val="left" w:pos="300"/>
              </w:tabs>
              <w:spacing w:after="120"/>
              <w:jc w:val="both"/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</w:pPr>
            <w:r w:rsidRPr="00CD07D7"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  <w:t>–</w:t>
            </w:r>
            <w:r w:rsidRPr="00CD07D7"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  <w:tab/>
              <w:t>статті 15</w:t>
            </w:r>
          </w:p>
        </w:tc>
        <w:tc>
          <w:tcPr>
            <w:tcW w:w="7932" w:type="dxa"/>
          </w:tcPr>
          <w:p w:rsidR="002A26B8" w:rsidRPr="00CD07D7" w:rsidRDefault="002A26B8" w:rsidP="004E147A">
            <w:pPr>
              <w:spacing w:after="120"/>
              <w:jc w:val="both"/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</w:pPr>
            <w:r w:rsidRPr="00CD07D7"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  <w:t>«Компетентність та професіоналізм»;</w:t>
            </w:r>
          </w:p>
        </w:tc>
      </w:tr>
      <w:tr w:rsidR="00CD07D7" w:rsidRPr="00CD07D7" w:rsidTr="004E147A">
        <w:tc>
          <w:tcPr>
            <w:tcW w:w="1696" w:type="dxa"/>
          </w:tcPr>
          <w:p w:rsidR="002A26B8" w:rsidRPr="00CD07D7" w:rsidRDefault="002A26B8" w:rsidP="004E147A">
            <w:pPr>
              <w:tabs>
                <w:tab w:val="left" w:pos="300"/>
              </w:tabs>
              <w:spacing w:after="120"/>
              <w:jc w:val="both"/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</w:pPr>
            <w:r w:rsidRPr="00CD07D7"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  <w:t>–</w:t>
            </w:r>
            <w:r w:rsidRPr="00CD07D7"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  <w:tab/>
              <w:t>статті 16</w:t>
            </w:r>
          </w:p>
        </w:tc>
        <w:tc>
          <w:tcPr>
            <w:tcW w:w="7932" w:type="dxa"/>
          </w:tcPr>
          <w:p w:rsidR="002A26B8" w:rsidRPr="00CD07D7" w:rsidRDefault="002A26B8" w:rsidP="004E147A">
            <w:pPr>
              <w:spacing w:after="120"/>
              <w:jc w:val="both"/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</w:pPr>
            <w:r w:rsidRPr="00CD07D7"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  <w:t>«Доброчесність, зразковість поведінки та дисциплінованість»;</w:t>
            </w:r>
          </w:p>
        </w:tc>
      </w:tr>
      <w:tr w:rsidR="00CD07D7" w:rsidRPr="00CD07D7" w:rsidTr="004E147A">
        <w:tc>
          <w:tcPr>
            <w:tcW w:w="1696" w:type="dxa"/>
          </w:tcPr>
          <w:p w:rsidR="002A26B8" w:rsidRPr="00CD07D7" w:rsidRDefault="002A26B8" w:rsidP="004E147A">
            <w:pPr>
              <w:tabs>
                <w:tab w:val="left" w:pos="315"/>
              </w:tabs>
              <w:spacing w:after="240"/>
              <w:jc w:val="both"/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</w:pPr>
            <w:r w:rsidRPr="00CD07D7"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  <w:t>–</w:t>
            </w:r>
            <w:r w:rsidRPr="00CD07D7"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  <w:tab/>
              <w:t>статті 19</w:t>
            </w:r>
          </w:p>
        </w:tc>
        <w:tc>
          <w:tcPr>
            <w:tcW w:w="7932" w:type="dxa"/>
          </w:tcPr>
          <w:p w:rsidR="002A26B8" w:rsidRPr="00CD07D7" w:rsidRDefault="002A26B8" w:rsidP="004E147A">
            <w:pPr>
              <w:spacing w:after="240"/>
              <w:jc w:val="both"/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</w:pPr>
            <w:r w:rsidRPr="00CD07D7"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  <w:t>«Недопущення проявів корупції»;</w:t>
            </w:r>
          </w:p>
        </w:tc>
      </w:tr>
      <w:tr w:rsidR="00CD07D7" w:rsidRPr="00CD07D7" w:rsidTr="004E147A">
        <w:tc>
          <w:tcPr>
            <w:tcW w:w="1696" w:type="dxa"/>
          </w:tcPr>
          <w:p w:rsidR="002A26B8" w:rsidRPr="00CD07D7" w:rsidRDefault="002A26B8" w:rsidP="004E147A">
            <w:pPr>
              <w:tabs>
                <w:tab w:val="left" w:pos="315"/>
              </w:tabs>
              <w:spacing w:after="240"/>
              <w:jc w:val="both"/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</w:pPr>
            <w:r w:rsidRPr="00CD07D7"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  <w:lastRenderedPageBreak/>
              <w:t>–</w:t>
            </w:r>
            <w:r w:rsidRPr="00CD07D7"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  <w:tab/>
              <w:t>статті 21</w:t>
            </w:r>
          </w:p>
        </w:tc>
        <w:tc>
          <w:tcPr>
            <w:tcW w:w="7932" w:type="dxa"/>
          </w:tcPr>
          <w:p w:rsidR="002A26B8" w:rsidRPr="00CD07D7" w:rsidRDefault="002A26B8" w:rsidP="002B6700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</w:pPr>
            <w:r w:rsidRPr="00CD07D7"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  <w:t>«Недопущення поведінки, що може зашкодити репутації» та інші.</w:t>
            </w:r>
          </w:p>
        </w:tc>
      </w:tr>
    </w:tbl>
    <w:p w:rsidR="002A26B8" w:rsidRPr="00CD07D7" w:rsidRDefault="002A26B8" w:rsidP="00B0222B">
      <w:pPr>
        <w:spacing w:after="12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Як правило, в дисциплінарних скаргах вказу</w:t>
      </w:r>
      <w:r w:rsidR="002B6700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ю</w:t>
      </w: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ться одразу декілька статей Кодексу, вимоги яких, на думку скаржника, порушено або не вказу</w:t>
      </w:r>
      <w:r w:rsidR="002B6700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є</w:t>
      </w: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 xml:space="preserve">ться взагалі жодної статті, обмежуючись загальним формулюванням про порушення вимог Кодексу або етичних норм.  </w:t>
      </w:r>
    </w:p>
    <w:p w:rsidR="002A26B8" w:rsidRPr="00CD07D7" w:rsidRDefault="002A26B8" w:rsidP="00B0222B">
      <w:pPr>
        <w:spacing w:after="120" w:line="240" w:lineRule="auto"/>
        <w:ind w:firstLine="708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Із наведеним пов’язана друга тенденція, яка полягає в тому, що доводи скаржників про порушення прокурорами правил прокурорської етики майже в усіх випадках поєднано із твердженням про наявність ще й іншого дисциплінарного проступку. Як правило, порушення правил прокурорської етики скаржники поєднують з доводами про невиконання або неналежне виконання прокурорами службових обов’язків чи вчинення ними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 (пункти 1, 5 частини першої статті 43 Закону). Твердження про порушення виключно правил прокурорської етики зустрічаються в дисциплінарних скаргах майже в поодиноких випадках.</w:t>
      </w:r>
    </w:p>
    <w:p w:rsidR="002A26B8" w:rsidRPr="00CD07D7" w:rsidRDefault="002B6700" w:rsidP="00B0222B">
      <w:pPr>
        <w:pStyle w:val="rvps2"/>
        <w:shd w:val="clear" w:color="auto" w:fill="FFFFFF"/>
        <w:tabs>
          <w:tab w:val="left" w:pos="709"/>
        </w:tabs>
        <w:spacing w:before="0" w:beforeAutospacing="0" w:after="120" w:afterAutospacing="0"/>
        <w:jc w:val="both"/>
        <w:rPr>
          <w:rFonts w:eastAsiaTheme="minorEastAsia"/>
          <w:kern w:val="28"/>
          <w:sz w:val="28"/>
          <w:szCs w:val="28"/>
          <w:lang w:val="uk-UA"/>
        </w:rPr>
      </w:pPr>
      <w:r>
        <w:rPr>
          <w:rFonts w:eastAsiaTheme="minorEastAsia"/>
          <w:kern w:val="28"/>
          <w:sz w:val="28"/>
          <w:szCs w:val="28"/>
          <w:lang w:val="uk-UA"/>
        </w:rPr>
        <w:tab/>
      </w:r>
      <w:r w:rsidR="002A26B8" w:rsidRPr="00CD07D7">
        <w:rPr>
          <w:rFonts w:eastAsiaTheme="minorEastAsia"/>
          <w:kern w:val="28"/>
          <w:sz w:val="28"/>
          <w:szCs w:val="28"/>
          <w:lang w:val="uk-UA"/>
        </w:rPr>
        <w:t>Забезпечуючи дотримання прокурорами правил прокурорської етики, органи, на які в 2020 – 2021 роках та І півріччі 2022 року покладалося здійснення дисциплінарного провадження, застосовували заходи дисциплінарного впливу до порушників етичних норм. За результатами дисциплінарного провадження у вказаний період прийнято</w:t>
      </w:r>
      <w:r w:rsidR="002A26B8" w:rsidRPr="00CD07D7">
        <w:rPr>
          <w:rFonts w:eastAsiaTheme="minorEastAsia"/>
          <w:b/>
          <w:kern w:val="28"/>
          <w:sz w:val="28"/>
          <w:szCs w:val="28"/>
          <w:lang w:val="uk-UA"/>
        </w:rPr>
        <w:t xml:space="preserve"> 67 рішень </w:t>
      </w:r>
      <w:r w:rsidR="002A26B8" w:rsidRPr="00CD07D7">
        <w:rPr>
          <w:rFonts w:eastAsiaTheme="minorEastAsia"/>
          <w:kern w:val="28"/>
          <w:sz w:val="28"/>
          <w:szCs w:val="28"/>
          <w:lang w:val="uk-UA"/>
        </w:rPr>
        <w:t>про притягнення</w:t>
      </w:r>
      <w:r w:rsidR="002A26B8" w:rsidRPr="00CD07D7">
        <w:rPr>
          <w:rFonts w:eastAsiaTheme="minorEastAsia"/>
          <w:b/>
          <w:kern w:val="28"/>
          <w:sz w:val="28"/>
          <w:szCs w:val="28"/>
          <w:lang w:val="uk-UA"/>
        </w:rPr>
        <w:t xml:space="preserve"> 73 прокурорів </w:t>
      </w:r>
      <w:r w:rsidR="002A26B8" w:rsidRPr="00CD07D7">
        <w:rPr>
          <w:rFonts w:eastAsiaTheme="minorEastAsia"/>
          <w:kern w:val="28"/>
          <w:sz w:val="28"/>
          <w:szCs w:val="28"/>
          <w:lang w:val="uk-UA"/>
        </w:rPr>
        <w:t>до різних видів дисциплінарних стягнень у зв’язку з наявністю в їхніх діях складу дисциплінарного проступку, передбаченого пунктом 6 частини першої статті 43 Закону.</w:t>
      </w:r>
    </w:p>
    <w:p w:rsidR="002A26B8" w:rsidRPr="00CD07D7" w:rsidRDefault="002B6700" w:rsidP="00B0222B">
      <w:pPr>
        <w:pStyle w:val="rvps2"/>
        <w:shd w:val="clear" w:color="auto" w:fill="FFFFFF"/>
        <w:tabs>
          <w:tab w:val="left" w:pos="709"/>
        </w:tabs>
        <w:spacing w:before="0" w:beforeAutospacing="0" w:after="120" w:afterAutospacing="0"/>
        <w:jc w:val="both"/>
        <w:rPr>
          <w:rFonts w:eastAsiaTheme="minorEastAsia"/>
          <w:kern w:val="28"/>
          <w:sz w:val="28"/>
          <w:szCs w:val="28"/>
          <w:lang w:val="uk-UA"/>
        </w:rPr>
      </w:pPr>
      <w:r>
        <w:rPr>
          <w:rFonts w:eastAsiaTheme="minorEastAsia"/>
          <w:kern w:val="28"/>
          <w:sz w:val="28"/>
          <w:szCs w:val="28"/>
          <w:lang w:val="uk-UA"/>
        </w:rPr>
        <w:tab/>
        <w:t>У</w:t>
      </w:r>
      <w:r w:rsidR="002A26B8" w:rsidRPr="00CD07D7">
        <w:rPr>
          <w:rFonts w:eastAsiaTheme="minorEastAsia"/>
          <w:kern w:val="28"/>
          <w:sz w:val="28"/>
          <w:szCs w:val="28"/>
          <w:lang w:val="uk-UA"/>
        </w:rPr>
        <w:t xml:space="preserve"> дисциплінарній практиці щодо порушення прокурорами правил прокурорської етики переважає такий вид дисциплінарного стягнення як звільнення з посади в органах прокуратури (57 %). Зазначене цілком виправдано роллю і значенням професійної етики прокурора та наслідками її порушення, що не лише відображає професійну деформацію, веде до несумлінного виконання службових обов’язків і є несумісним із зайняттям посади, але й підриває авторитет як самого прокурора, так і органів прокуратури та держави в цілому.</w:t>
      </w:r>
    </w:p>
    <w:p w:rsidR="002A26B8" w:rsidRPr="00CD07D7" w:rsidRDefault="002A26B8" w:rsidP="002A26B8">
      <w:pPr>
        <w:spacing w:after="240" w:line="240" w:lineRule="auto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 w:rsidRPr="00CD07D7">
        <w:rPr>
          <w:rFonts w:ascii="Times New Roman" w:hAnsi="Times New Roman" w:cs="Times New Roman"/>
          <w:b w:val="0"/>
          <w:noProof/>
          <w:color w:val="auto"/>
          <w:kern w:val="28"/>
          <w:szCs w:val="28"/>
          <w:lang w:val="uk-UA" w:eastAsia="uk-UA"/>
        </w:rPr>
        <w:drawing>
          <wp:inline distT="0" distB="0" distL="0" distR="0" wp14:anchorId="4EF5241C" wp14:editId="2D77287B">
            <wp:extent cx="6048375" cy="2059388"/>
            <wp:effectExtent l="0" t="0" r="9525" b="1714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A26B8" w:rsidRPr="00CD07D7" w:rsidRDefault="002A26B8" w:rsidP="002A26B8">
      <w:pPr>
        <w:shd w:val="clear" w:color="auto" w:fill="FFFFFF" w:themeFill="background1"/>
        <w:spacing w:after="240" w:line="240" w:lineRule="auto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 w:rsidRPr="00CD07D7">
        <w:rPr>
          <w:rFonts w:ascii="Times New Roman" w:hAnsi="Times New Roman" w:cs="Times New Roman"/>
          <w:b w:val="0"/>
          <w:noProof/>
          <w:color w:val="auto"/>
          <w:kern w:val="28"/>
          <w:szCs w:val="28"/>
          <w:lang w:val="uk-UA" w:eastAsia="uk-UA"/>
        </w:rPr>
        <w:lastRenderedPageBreak/>
        <w:drawing>
          <wp:inline distT="0" distB="0" distL="0" distR="0" wp14:anchorId="4F58B626" wp14:editId="1950A3E0">
            <wp:extent cx="6191250" cy="3705225"/>
            <wp:effectExtent l="0" t="0" r="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A26B8" w:rsidRPr="00CD07D7" w:rsidRDefault="002B6700" w:rsidP="002B6700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eastAsiaTheme="minorEastAsia"/>
          <w:kern w:val="28"/>
          <w:sz w:val="28"/>
          <w:szCs w:val="28"/>
          <w:lang w:val="uk-UA"/>
        </w:rPr>
      </w:pPr>
      <w:r>
        <w:rPr>
          <w:rFonts w:eastAsiaTheme="minorEastAsia"/>
          <w:kern w:val="28"/>
          <w:sz w:val="28"/>
          <w:szCs w:val="28"/>
          <w:lang w:val="uk-UA"/>
        </w:rPr>
        <w:tab/>
      </w:r>
      <w:r w:rsidR="002A26B8" w:rsidRPr="00CD07D7">
        <w:rPr>
          <w:rFonts w:eastAsiaTheme="minorEastAsia"/>
          <w:kern w:val="28"/>
          <w:sz w:val="28"/>
          <w:szCs w:val="28"/>
          <w:lang w:val="uk-UA"/>
        </w:rPr>
        <w:t xml:space="preserve">До статей Кодексу, порушення яких </w:t>
      </w:r>
      <w:r w:rsidR="002A26B8" w:rsidRPr="00CD07D7">
        <w:rPr>
          <w:rFonts w:eastAsiaTheme="minorEastAsia"/>
          <w:b/>
          <w:kern w:val="28"/>
          <w:sz w:val="28"/>
          <w:szCs w:val="28"/>
          <w:lang w:val="uk-UA"/>
        </w:rPr>
        <w:t>найчастіше</w:t>
      </w:r>
      <w:r w:rsidR="002A26B8" w:rsidRPr="00CD07D7">
        <w:rPr>
          <w:rFonts w:eastAsiaTheme="minorEastAsia"/>
          <w:kern w:val="28"/>
          <w:sz w:val="28"/>
          <w:szCs w:val="28"/>
          <w:lang w:val="uk-UA"/>
        </w:rPr>
        <w:t xml:space="preserve"> встановл</w:t>
      </w:r>
      <w:r w:rsidR="00BD062E">
        <w:rPr>
          <w:rFonts w:eastAsiaTheme="minorEastAsia"/>
          <w:kern w:val="28"/>
          <w:sz w:val="28"/>
          <w:szCs w:val="28"/>
          <w:lang w:val="uk-UA"/>
        </w:rPr>
        <w:t>ено</w:t>
      </w:r>
      <w:r w:rsidR="002A26B8" w:rsidRPr="00CD07D7">
        <w:rPr>
          <w:rFonts w:eastAsiaTheme="minorEastAsia"/>
          <w:kern w:val="28"/>
          <w:sz w:val="28"/>
          <w:szCs w:val="28"/>
          <w:lang w:val="uk-UA"/>
        </w:rPr>
        <w:t xml:space="preserve"> в дисциплінарному провадженні</w:t>
      </w:r>
      <w:r w:rsidR="00BD062E">
        <w:rPr>
          <w:rFonts w:eastAsiaTheme="minorEastAsia"/>
          <w:kern w:val="28"/>
          <w:sz w:val="28"/>
          <w:szCs w:val="28"/>
          <w:lang w:val="uk-UA"/>
        </w:rPr>
        <w:t>,</w:t>
      </w:r>
      <w:r w:rsidR="002A26B8" w:rsidRPr="00CD07D7">
        <w:rPr>
          <w:rFonts w:eastAsiaTheme="minorEastAsia"/>
          <w:kern w:val="28"/>
          <w:sz w:val="28"/>
          <w:szCs w:val="28"/>
          <w:lang w:val="uk-UA"/>
        </w:rPr>
        <w:t xml:space="preserve"> належать: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5"/>
        <w:gridCol w:w="6063"/>
        <w:gridCol w:w="1940"/>
      </w:tblGrid>
      <w:tr w:rsidR="00CD07D7" w:rsidRPr="00CD07D7" w:rsidTr="004E147A">
        <w:tc>
          <w:tcPr>
            <w:tcW w:w="1688" w:type="dxa"/>
            <w:vAlign w:val="center"/>
          </w:tcPr>
          <w:p w:rsidR="002A26B8" w:rsidRPr="00CD07D7" w:rsidRDefault="002A26B8" w:rsidP="002B6700">
            <w:pPr>
              <w:pStyle w:val="rvps2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jc w:val="both"/>
              <w:rPr>
                <w:rFonts w:eastAsiaTheme="minorEastAsia"/>
                <w:kern w:val="28"/>
                <w:sz w:val="28"/>
                <w:szCs w:val="28"/>
                <w:lang w:val="uk-UA"/>
              </w:rPr>
            </w:pPr>
            <w:r w:rsidRPr="00CD07D7">
              <w:rPr>
                <w:rFonts w:eastAsiaTheme="minorEastAsia"/>
                <w:kern w:val="28"/>
                <w:sz w:val="28"/>
                <w:szCs w:val="28"/>
                <w:lang w:val="uk-UA"/>
              </w:rPr>
              <w:t>– стаття 21</w:t>
            </w:r>
          </w:p>
        </w:tc>
        <w:tc>
          <w:tcPr>
            <w:tcW w:w="6332" w:type="dxa"/>
            <w:vAlign w:val="center"/>
          </w:tcPr>
          <w:p w:rsidR="002A26B8" w:rsidRPr="00CD07D7" w:rsidRDefault="002A26B8" w:rsidP="002B6700">
            <w:pPr>
              <w:pStyle w:val="rvps2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rPr>
                <w:rFonts w:eastAsiaTheme="minorEastAsia"/>
                <w:kern w:val="28"/>
                <w:sz w:val="28"/>
                <w:szCs w:val="28"/>
                <w:lang w:val="uk-UA"/>
              </w:rPr>
            </w:pPr>
            <w:r w:rsidRPr="00CD07D7">
              <w:rPr>
                <w:rFonts w:eastAsiaTheme="minorEastAsia"/>
                <w:kern w:val="28"/>
                <w:sz w:val="28"/>
                <w:szCs w:val="28"/>
                <w:lang w:val="uk-UA"/>
              </w:rPr>
              <w:t>«Недопущення поведінки, що може зашкодити репутації»</w:t>
            </w:r>
          </w:p>
        </w:tc>
        <w:tc>
          <w:tcPr>
            <w:tcW w:w="1608" w:type="dxa"/>
            <w:vAlign w:val="center"/>
          </w:tcPr>
          <w:p w:rsidR="002A26B8" w:rsidRPr="00CD07D7" w:rsidRDefault="002A26B8" w:rsidP="002B6700">
            <w:pPr>
              <w:pStyle w:val="rvps2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jc w:val="center"/>
              <w:rPr>
                <w:rFonts w:eastAsiaTheme="minorEastAsia"/>
                <w:b/>
                <w:kern w:val="28"/>
                <w:sz w:val="28"/>
                <w:szCs w:val="28"/>
                <w:lang w:val="uk-UA"/>
              </w:rPr>
            </w:pPr>
            <w:r w:rsidRPr="00CD07D7">
              <w:rPr>
                <w:rFonts w:eastAsiaTheme="minorEastAsia"/>
                <w:b/>
                <w:kern w:val="28"/>
                <w:sz w:val="28"/>
                <w:szCs w:val="28"/>
                <w:lang w:val="uk-UA"/>
              </w:rPr>
              <w:t>59</w:t>
            </w:r>
          </w:p>
          <w:p w:rsidR="002A26B8" w:rsidRPr="00CD07D7" w:rsidRDefault="002A26B8" w:rsidP="002B6700">
            <w:pPr>
              <w:pStyle w:val="rvps2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jc w:val="center"/>
              <w:rPr>
                <w:rFonts w:eastAsiaTheme="minorEastAsia"/>
                <w:i/>
                <w:kern w:val="28"/>
                <w:sz w:val="28"/>
                <w:szCs w:val="28"/>
                <w:lang w:val="uk-UA"/>
              </w:rPr>
            </w:pPr>
            <w:r w:rsidRPr="00CD07D7">
              <w:rPr>
                <w:rFonts w:eastAsiaTheme="minorEastAsia"/>
                <w:i/>
                <w:kern w:val="28"/>
                <w:sz w:val="28"/>
                <w:szCs w:val="28"/>
                <w:lang w:val="uk-UA"/>
              </w:rPr>
              <w:t>(випадків застосування)</w:t>
            </w:r>
          </w:p>
        </w:tc>
      </w:tr>
      <w:tr w:rsidR="00CD07D7" w:rsidRPr="00CD07D7" w:rsidTr="004E147A">
        <w:tc>
          <w:tcPr>
            <w:tcW w:w="1688" w:type="dxa"/>
            <w:vAlign w:val="center"/>
          </w:tcPr>
          <w:p w:rsidR="002A26B8" w:rsidRPr="00CD07D7" w:rsidRDefault="002A26B8" w:rsidP="002B6700">
            <w:pPr>
              <w:pStyle w:val="rvps2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jc w:val="both"/>
              <w:rPr>
                <w:rFonts w:eastAsiaTheme="minorEastAsia"/>
                <w:kern w:val="28"/>
                <w:sz w:val="28"/>
                <w:szCs w:val="28"/>
                <w:lang w:val="uk-UA"/>
              </w:rPr>
            </w:pPr>
            <w:r w:rsidRPr="00CD07D7">
              <w:rPr>
                <w:rFonts w:eastAsiaTheme="minorEastAsia"/>
                <w:kern w:val="28"/>
                <w:sz w:val="28"/>
                <w:szCs w:val="28"/>
                <w:lang w:val="uk-UA"/>
              </w:rPr>
              <w:t>– стаття 19</w:t>
            </w:r>
          </w:p>
        </w:tc>
        <w:tc>
          <w:tcPr>
            <w:tcW w:w="6332" w:type="dxa"/>
            <w:vAlign w:val="center"/>
          </w:tcPr>
          <w:p w:rsidR="002A26B8" w:rsidRPr="00CD07D7" w:rsidRDefault="002A26B8" w:rsidP="002B6700">
            <w:pPr>
              <w:pStyle w:val="rvps2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rPr>
                <w:rFonts w:eastAsiaTheme="minorEastAsia"/>
                <w:kern w:val="28"/>
                <w:sz w:val="28"/>
                <w:szCs w:val="28"/>
                <w:lang w:val="uk-UA"/>
              </w:rPr>
            </w:pPr>
            <w:r w:rsidRPr="00CD07D7">
              <w:rPr>
                <w:rFonts w:eastAsiaTheme="minorEastAsia"/>
                <w:kern w:val="28"/>
                <w:sz w:val="28"/>
                <w:szCs w:val="28"/>
                <w:lang w:val="uk-UA"/>
              </w:rPr>
              <w:t>«Недопущення проявів корупції»</w:t>
            </w:r>
          </w:p>
        </w:tc>
        <w:tc>
          <w:tcPr>
            <w:tcW w:w="1608" w:type="dxa"/>
            <w:vAlign w:val="center"/>
          </w:tcPr>
          <w:p w:rsidR="002A26B8" w:rsidRPr="00CD07D7" w:rsidRDefault="002A26B8" w:rsidP="002B6700">
            <w:pPr>
              <w:pStyle w:val="rvps2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jc w:val="center"/>
              <w:rPr>
                <w:rFonts w:eastAsiaTheme="minorEastAsia"/>
                <w:b/>
                <w:kern w:val="28"/>
                <w:sz w:val="28"/>
                <w:szCs w:val="28"/>
                <w:lang w:val="uk-UA"/>
              </w:rPr>
            </w:pPr>
            <w:r w:rsidRPr="00CD07D7">
              <w:rPr>
                <w:rFonts w:eastAsiaTheme="minorEastAsia"/>
                <w:b/>
                <w:kern w:val="28"/>
                <w:sz w:val="28"/>
                <w:szCs w:val="28"/>
                <w:lang w:val="uk-UA"/>
              </w:rPr>
              <w:t>25</w:t>
            </w:r>
          </w:p>
        </w:tc>
      </w:tr>
      <w:tr w:rsidR="00CD07D7" w:rsidRPr="00CD07D7" w:rsidTr="004E147A">
        <w:tc>
          <w:tcPr>
            <w:tcW w:w="1688" w:type="dxa"/>
            <w:vAlign w:val="center"/>
          </w:tcPr>
          <w:p w:rsidR="002A26B8" w:rsidRPr="00CD07D7" w:rsidRDefault="002A26B8" w:rsidP="002B6700">
            <w:pPr>
              <w:pStyle w:val="rvps2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jc w:val="both"/>
              <w:rPr>
                <w:rFonts w:eastAsiaTheme="minorEastAsia"/>
                <w:kern w:val="28"/>
                <w:sz w:val="28"/>
                <w:szCs w:val="28"/>
                <w:lang w:val="uk-UA"/>
              </w:rPr>
            </w:pPr>
            <w:r w:rsidRPr="00CD07D7">
              <w:rPr>
                <w:rFonts w:eastAsiaTheme="minorEastAsia"/>
                <w:kern w:val="28"/>
                <w:sz w:val="28"/>
                <w:szCs w:val="28"/>
                <w:lang w:val="uk-UA"/>
              </w:rPr>
              <w:t>– стаття 11</w:t>
            </w:r>
          </w:p>
        </w:tc>
        <w:tc>
          <w:tcPr>
            <w:tcW w:w="6332" w:type="dxa"/>
            <w:vAlign w:val="center"/>
          </w:tcPr>
          <w:p w:rsidR="002A26B8" w:rsidRPr="00CD07D7" w:rsidRDefault="002A26B8" w:rsidP="002B6700">
            <w:pPr>
              <w:pStyle w:val="rvps2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rPr>
                <w:rFonts w:eastAsiaTheme="minorEastAsia"/>
                <w:kern w:val="28"/>
                <w:sz w:val="28"/>
                <w:szCs w:val="28"/>
                <w:lang w:val="uk-UA"/>
              </w:rPr>
            </w:pPr>
            <w:r w:rsidRPr="00CD07D7">
              <w:rPr>
                <w:rFonts w:eastAsiaTheme="minorEastAsia"/>
                <w:kern w:val="28"/>
                <w:sz w:val="28"/>
                <w:szCs w:val="28"/>
                <w:lang w:val="uk-UA"/>
              </w:rPr>
              <w:t>«Професійна честь і гідність. Формування довіри до прокуратури»</w:t>
            </w:r>
          </w:p>
        </w:tc>
        <w:tc>
          <w:tcPr>
            <w:tcW w:w="1608" w:type="dxa"/>
            <w:vAlign w:val="center"/>
          </w:tcPr>
          <w:p w:rsidR="002A26B8" w:rsidRPr="00CD07D7" w:rsidRDefault="002A26B8" w:rsidP="002B6700">
            <w:pPr>
              <w:pStyle w:val="rvps2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jc w:val="center"/>
              <w:rPr>
                <w:rFonts w:eastAsiaTheme="minorEastAsia"/>
                <w:b/>
                <w:kern w:val="28"/>
                <w:sz w:val="28"/>
                <w:szCs w:val="28"/>
                <w:lang w:val="uk-UA"/>
              </w:rPr>
            </w:pPr>
            <w:r w:rsidRPr="00CD07D7">
              <w:rPr>
                <w:rFonts w:eastAsiaTheme="minorEastAsia"/>
                <w:b/>
                <w:kern w:val="28"/>
                <w:sz w:val="28"/>
                <w:szCs w:val="28"/>
                <w:lang w:val="uk-UA"/>
              </w:rPr>
              <w:t>11</w:t>
            </w:r>
          </w:p>
        </w:tc>
      </w:tr>
      <w:tr w:rsidR="00CD07D7" w:rsidRPr="00CD07D7" w:rsidTr="004E147A">
        <w:tc>
          <w:tcPr>
            <w:tcW w:w="1688" w:type="dxa"/>
            <w:vAlign w:val="center"/>
          </w:tcPr>
          <w:p w:rsidR="002A26B8" w:rsidRPr="00CD07D7" w:rsidRDefault="002A26B8" w:rsidP="002B6700">
            <w:pPr>
              <w:pStyle w:val="rvps2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jc w:val="both"/>
              <w:rPr>
                <w:rFonts w:eastAsiaTheme="minorEastAsia"/>
                <w:kern w:val="28"/>
                <w:sz w:val="28"/>
                <w:szCs w:val="28"/>
                <w:lang w:val="uk-UA"/>
              </w:rPr>
            </w:pPr>
            <w:r w:rsidRPr="00CD07D7">
              <w:rPr>
                <w:rFonts w:eastAsiaTheme="minorEastAsia"/>
                <w:kern w:val="28"/>
                <w:sz w:val="28"/>
                <w:szCs w:val="28"/>
                <w:lang w:val="uk-UA"/>
              </w:rPr>
              <w:t>– стаття 4</w:t>
            </w:r>
          </w:p>
        </w:tc>
        <w:tc>
          <w:tcPr>
            <w:tcW w:w="6332" w:type="dxa"/>
            <w:vAlign w:val="center"/>
          </w:tcPr>
          <w:p w:rsidR="002A26B8" w:rsidRPr="00CD07D7" w:rsidRDefault="002A26B8" w:rsidP="002B6700">
            <w:pPr>
              <w:pStyle w:val="rvps2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rPr>
                <w:rFonts w:eastAsiaTheme="minorEastAsia"/>
                <w:kern w:val="28"/>
                <w:sz w:val="28"/>
                <w:szCs w:val="28"/>
                <w:lang w:val="uk-UA"/>
              </w:rPr>
            </w:pPr>
            <w:r w:rsidRPr="00CD07D7">
              <w:rPr>
                <w:rFonts w:eastAsiaTheme="minorEastAsia"/>
                <w:kern w:val="28"/>
                <w:sz w:val="28"/>
                <w:szCs w:val="28"/>
                <w:lang w:val="uk-UA"/>
              </w:rPr>
              <w:t>«Основні принципи професійної етики та поведінки прокурорів»</w:t>
            </w:r>
          </w:p>
        </w:tc>
        <w:tc>
          <w:tcPr>
            <w:tcW w:w="1608" w:type="dxa"/>
            <w:vAlign w:val="center"/>
          </w:tcPr>
          <w:p w:rsidR="002A26B8" w:rsidRPr="00CD07D7" w:rsidRDefault="002A26B8" w:rsidP="002B6700">
            <w:pPr>
              <w:pStyle w:val="rvps2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jc w:val="center"/>
              <w:rPr>
                <w:rFonts w:eastAsiaTheme="minorEastAsia"/>
                <w:b/>
                <w:kern w:val="28"/>
                <w:sz w:val="28"/>
                <w:szCs w:val="28"/>
                <w:lang w:val="uk-UA"/>
              </w:rPr>
            </w:pPr>
            <w:r w:rsidRPr="00CD07D7">
              <w:rPr>
                <w:rFonts w:eastAsiaTheme="minorEastAsia"/>
                <w:b/>
                <w:kern w:val="28"/>
                <w:sz w:val="28"/>
                <w:szCs w:val="28"/>
                <w:lang w:val="uk-UA"/>
              </w:rPr>
              <w:t xml:space="preserve">8 </w:t>
            </w:r>
          </w:p>
        </w:tc>
      </w:tr>
      <w:tr w:rsidR="00CD07D7" w:rsidRPr="00CD07D7" w:rsidTr="004E147A">
        <w:tc>
          <w:tcPr>
            <w:tcW w:w="1688" w:type="dxa"/>
            <w:vAlign w:val="center"/>
          </w:tcPr>
          <w:p w:rsidR="002A26B8" w:rsidRPr="00CD07D7" w:rsidRDefault="002A26B8" w:rsidP="002B6700">
            <w:pPr>
              <w:pStyle w:val="rvps2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jc w:val="both"/>
              <w:rPr>
                <w:rFonts w:eastAsiaTheme="minorEastAsia"/>
                <w:kern w:val="28"/>
                <w:sz w:val="28"/>
                <w:szCs w:val="28"/>
                <w:lang w:val="uk-UA"/>
              </w:rPr>
            </w:pPr>
            <w:r w:rsidRPr="00CD07D7">
              <w:rPr>
                <w:rFonts w:eastAsiaTheme="minorEastAsia"/>
                <w:kern w:val="28"/>
                <w:sz w:val="28"/>
                <w:szCs w:val="28"/>
                <w:lang w:val="uk-UA"/>
              </w:rPr>
              <w:t>– стаття 16</w:t>
            </w:r>
          </w:p>
        </w:tc>
        <w:tc>
          <w:tcPr>
            <w:tcW w:w="6332" w:type="dxa"/>
            <w:vAlign w:val="center"/>
          </w:tcPr>
          <w:p w:rsidR="002A26B8" w:rsidRPr="00CD07D7" w:rsidRDefault="002A26B8" w:rsidP="002B6700">
            <w:pPr>
              <w:pStyle w:val="rvps2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rPr>
                <w:rFonts w:eastAsiaTheme="minorEastAsia"/>
                <w:kern w:val="28"/>
                <w:sz w:val="28"/>
                <w:szCs w:val="28"/>
                <w:lang w:val="uk-UA"/>
              </w:rPr>
            </w:pPr>
            <w:r w:rsidRPr="00CD07D7">
              <w:rPr>
                <w:rFonts w:eastAsiaTheme="minorEastAsia"/>
                <w:kern w:val="28"/>
                <w:sz w:val="28"/>
                <w:szCs w:val="28"/>
                <w:lang w:val="uk-UA"/>
              </w:rPr>
              <w:t>«Доброчесність, зразковість поведінки та дисциплінованість»</w:t>
            </w:r>
          </w:p>
        </w:tc>
        <w:tc>
          <w:tcPr>
            <w:tcW w:w="1608" w:type="dxa"/>
            <w:vAlign w:val="center"/>
          </w:tcPr>
          <w:p w:rsidR="002A26B8" w:rsidRPr="00CD07D7" w:rsidRDefault="002A26B8" w:rsidP="002B6700">
            <w:pPr>
              <w:pStyle w:val="rvps2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jc w:val="center"/>
              <w:rPr>
                <w:rFonts w:eastAsiaTheme="minorEastAsia"/>
                <w:b/>
                <w:kern w:val="28"/>
                <w:sz w:val="28"/>
                <w:szCs w:val="28"/>
                <w:lang w:val="uk-UA"/>
              </w:rPr>
            </w:pPr>
            <w:r w:rsidRPr="00CD07D7">
              <w:rPr>
                <w:rFonts w:eastAsiaTheme="minorEastAsia"/>
                <w:b/>
                <w:kern w:val="28"/>
                <w:sz w:val="28"/>
                <w:szCs w:val="28"/>
                <w:lang w:val="uk-UA"/>
              </w:rPr>
              <w:t>8</w:t>
            </w:r>
          </w:p>
        </w:tc>
      </w:tr>
      <w:tr w:rsidR="00CD07D7" w:rsidRPr="00CD07D7" w:rsidTr="004E147A">
        <w:tc>
          <w:tcPr>
            <w:tcW w:w="1688" w:type="dxa"/>
            <w:vAlign w:val="center"/>
          </w:tcPr>
          <w:p w:rsidR="002A26B8" w:rsidRPr="00CD07D7" w:rsidRDefault="002A26B8" w:rsidP="002B6700">
            <w:pPr>
              <w:pStyle w:val="rvps2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jc w:val="both"/>
              <w:rPr>
                <w:rFonts w:eastAsiaTheme="minorEastAsia"/>
                <w:kern w:val="28"/>
                <w:sz w:val="28"/>
                <w:szCs w:val="28"/>
                <w:lang w:val="uk-UA"/>
              </w:rPr>
            </w:pPr>
            <w:r w:rsidRPr="00CD07D7">
              <w:rPr>
                <w:rFonts w:eastAsiaTheme="minorEastAsia"/>
                <w:kern w:val="28"/>
                <w:sz w:val="28"/>
                <w:szCs w:val="28"/>
                <w:lang w:val="uk-UA"/>
              </w:rPr>
              <w:t>– стаття 5</w:t>
            </w:r>
          </w:p>
        </w:tc>
        <w:tc>
          <w:tcPr>
            <w:tcW w:w="6332" w:type="dxa"/>
            <w:vAlign w:val="center"/>
          </w:tcPr>
          <w:p w:rsidR="002A26B8" w:rsidRPr="00CD07D7" w:rsidRDefault="002A26B8" w:rsidP="002B6700">
            <w:pPr>
              <w:pStyle w:val="rvps2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rPr>
                <w:rFonts w:eastAsiaTheme="minorEastAsia"/>
                <w:kern w:val="28"/>
                <w:sz w:val="28"/>
                <w:szCs w:val="28"/>
                <w:lang w:val="uk-UA"/>
              </w:rPr>
            </w:pPr>
            <w:r w:rsidRPr="00CD07D7">
              <w:rPr>
                <w:rFonts w:eastAsiaTheme="minorEastAsia"/>
                <w:kern w:val="28"/>
                <w:sz w:val="28"/>
                <w:szCs w:val="28"/>
                <w:lang w:val="uk-UA"/>
              </w:rPr>
              <w:t>«Верховенство права та законність»</w:t>
            </w:r>
          </w:p>
        </w:tc>
        <w:tc>
          <w:tcPr>
            <w:tcW w:w="1608" w:type="dxa"/>
            <w:vAlign w:val="center"/>
          </w:tcPr>
          <w:p w:rsidR="002A26B8" w:rsidRPr="00CD07D7" w:rsidRDefault="002A26B8" w:rsidP="002B6700">
            <w:pPr>
              <w:pStyle w:val="rvps2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jc w:val="center"/>
              <w:rPr>
                <w:rFonts w:eastAsiaTheme="minorEastAsia"/>
                <w:b/>
                <w:kern w:val="28"/>
                <w:sz w:val="28"/>
                <w:szCs w:val="28"/>
                <w:lang w:val="uk-UA"/>
              </w:rPr>
            </w:pPr>
            <w:r w:rsidRPr="00CD07D7">
              <w:rPr>
                <w:rFonts w:eastAsiaTheme="minorEastAsia"/>
                <w:b/>
                <w:kern w:val="28"/>
                <w:sz w:val="28"/>
                <w:szCs w:val="28"/>
                <w:lang w:val="uk-UA"/>
              </w:rPr>
              <w:t>7</w:t>
            </w:r>
          </w:p>
        </w:tc>
      </w:tr>
      <w:tr w:rsidR="00CD07D7" w:rsidRPr="00CD07D7" w:rsidTr="004E147A">
        <w:tc>
          <w:tcPr>
            <w:tcW w:w="1688" w:type="dxa"/>
            <w:vAlign w:val="center"/>
          </w:tcPr>
          <w:p w:rsidR="002A26B8" w:rsidRPr="00CD07D7" w:rsidRDefault="002A26B8" w:rsidP="002B6700">
            <w:pPr>
              <w:pStyle w:val="rvps2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jc w:val="both"/>
              <w:rPr>
                <w:rFonts w:eastAsiaTheme="minorEastAsia"/>
                <w:kern w:val="28"/>
                <w:sz w:val="28"/>
                <w:szCs w:val="28"/>
                <w:lang w:val="uk-UA"/>
              </w:rPr>
            </w:pPr>
            <w:r w:rsidRPr="00CD07D7">
              <w:rPr>
                <w:rFonts w:eastAsiaTheme="minorEastAsia"/>
                <w:kern w:val="28"/>
                <w:sz w:val="28"/>
                <w:szCs w:val="28"/>
                <w:lang w:val="uk-UA"/>
              </w:rPr>
              <w:t>– стаття 10</w:t>
            </w:r>
          </w:p>
        </w:tc>
        <w:tc>
          <w:tcPr>
            <w:tcW w:w="6332" w:type="dxa"/>
            <w:vAlign w:val="center"/>
          </w:tcPr>
          <w:p w:rsidR="002A26B8" w:rsidRPr="00CD07D7" w:rsidRDefault="002A26B8" w:rsidP="002B6700">
            <w:pPr>
              <w:pStyle w:val="rvps2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rPr>
                <w:rFonts w:eastAsiaTheme="minorEastAsia"/>
                <w:kern w:val="28"/>
                <w:sz w:val="28"/>
                <w:szCs w:val="28"/>
                <w:lang w:val="uk-UA"/>
              </w:rPr>
            </w:pPr>
            <w:r w:rsidRPr="00CD07D7">
              <w:rPr>
                <w:rFonts w:eastAsiaTheme="minorEastAsia"/>
                <w:kern w:val="28"/>
                <w:sz w:val="28"/>
                <w:szCs w:val="28"/>
                <w:lang w:val="uk-UA"/>
              </w:rPr>
              <w:t>«Справедливість, неупередженість та об’єктивність»</w:t>
            </w:r>
          </w:p>
        </w:tc>
        <w:tc>
          <w:tcPr>
            <w:tcW w:w="1608" w:type="dxa"/>
            <w:vAlign w:val="center"/>
          </w:tcPr>
          <w:p w:rsidR="002A26B8" w:rsidRPr="00CD07D7" w:rsidRDefault="002A26B8" w:rsidP="002B6700">
            <w:pPr>
              <w:pStyle w:val="rvps2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jc w:val="center"/>
              <w:rPr>
                <w:rFonts w:eastAsiaTheme="minorEastAsia"/>
                <w:b/>
                <w:kern w:val="28"/>
                <w:sz w:val="28"/>
                <w:szCs w:val="28"/>
                <w:lang w:val="uk-UA"/>
              </w:rPr>
            </w:pPr>
            <w:r w:rsidRPr="00CD07D7">
              <w:rPr>
                <w:rFonts w:eastAsiaTheme="minorEastAsia"/>
                <w:b/>
                <w:kern w:val="28"/>
                <w:sz w:val="28"/>
                <w:szCs w:val="28"/>
                <w:lang w:val="uk-UA"/>
              </w:rPr>
              <w:t>6</w:t>
            </w:r>
          </w:p>
        </w:tc>
      </w:tr>
    </w:tbl>
    <w:p w:rsidR="002A26B8" w:rsidRPr="00CD07D7" w:rsidRDefault="002A26B8" w:rsidP="002A26B8">
      <w:pPr>
        <w:pStyle w:val="1"/>
        <w:spacing w:after="240" w:line="240" w:lineRule="auto"/>
        <w:jc w:val="both"/>
        <w:rPr>
          <w:rFonts w:ascii="Times New Roman" w:eastAsiaTheme="minorEastAsia" w:hAnsi="Times New Roman" w:cs="Times New Roman"/>
          <w:b w:val="0"/>
          <w:color w:val="auto"/>
          <w:sz w:val="28"/>
          <w:szCs w:val="28"/>
          <w:lang w:val="uk-UA"/>
        </w:rPr>
      </w:pPr>
      <w:r w:rsidRPr="00CD07D7">
        <w:rPr>
          <w:rFonts w:ascii="Times New Roman" w:hAnsi="Times New Roman" w:cs="Times New Roman"/>
          <w:color w:val="auto"/>
          <w:sz w:val="28"/>
          <w:szCs w:val="28"/>
          <w:lang w:val="uk-UA" w:bidi="ru-RU"/>
        </w:rPr>
        <w:tab/>
      </w:r>
      <w:r w:rsidR="00314918" w:rsidRPr="00CD07D7">
        <w:rPr>
          <w:rFonts w:ascii="Times New Roman" w:eastAsiaTheme="minorEastAsia" w:hAnsi="Times New Roman" w:cs="Times New Roman"/>
          <w:b w:val="0"/>
          <w:color w:val="auto"/>
          <w:sz w:val="28"/>
          <w:szCs w:val="28"/>
          <w:lang w:val="uk-UA"/>
        </w:rPr>
        <w:t>Ок</w:t>
      </w:r>
      <w:r w:rsidRPr="00CD07D7">
        <w:rPr>
          <w:rFonts w:ascii="Times New Roman" w:eastAsiaTheme="minorEastAsia" w:hAnsi="Times New Roman" w:cs="Times New Roman"/>
          <w:b w:val="0"/>
          <w:color w:val="auto"/>
          <w:sz w:val="28"/>
          <w:szCs w:val="28"/>
          <w:lang w:val="uk-UA"/>
        </w:rPr>
        <w:t xml:space="preserve">рім того, порушення статей 12 («Прозорість службової діяльності. Конфіденційність») та 14 («Недопущення конфлікту інтересів») – встановлено у </w:t>
      </w:r>
      <w:r w:rsidRPr="00CD07D7">
        <w:rPr>
          <w:rFonts w:ascii="Times New Roman" w:eastAsiaTheme="minorEastAsia" w:hAnsi="Times New Roman" w:cs="Times New Roman"/>
          <w:color w:val="auto"/>
          <w:sz w:val="28"/>
          <w:szCs w:val="28"/>
          <w:lang w:val="uk-UA"/>
        </w:rPr>
        <w:t>3</w:t>
      </w:r>
      <w:r w:rsidRPr="00CD07D7">
        <w:rPr>
          <w:rFonts w:ascii="Times New Roman" w:eastAsiaTheme="minorEastAsia" w:hAnsi="Times New Roman" w:cs="Times New Roman"/>
          <w:b w:val="0"/>
          <w:color w:val="auto"/>
          <w:sz w:val="28"/>
          <w:szCs w:val="28"/>
          <w:lang w:val="uk-UA"/>
        </w:rPr>
        <w:t xml:space="preserve"> випадках; статей 29 («Взаємовідносини в колективах прокуратур»), 30 («Взаємовідносини керівного складу органів прокуратури з підпорядкованими працівниками») – у </w:t>
      </w:r>
      <w:r w:rsidRPr="00CD07D7">
        <w:rPr>
          <w:rFonts w:ascii="Times New Roman" w:eastAsiaTheme="minorEastAsia" w:hAnsi="Times New Roman" w:cs="Times New Roman"/>
          <w:color w:val="auto"/>
          <w:sz w:val="28"/>
          <w:szCs w:val="28"/>
          <w:lang w:val="uk-UA"/>
        </w:rPr>
        <w:t>2</w:t>
      </w:r>
      <w:r w:rsidRPr="00CD07D7">
        <w:rPr>
          <w:rFonts w:ascii="Times New Roman" w:eastAsiaTheme="minorEastAsia" w:hAnsi="Times New Roman" w:cs="Times New Roman"/>
          <w:b w:val="0"/>
          <w:color w:val="auto"/>
          <w:sz w:val="28"/>
          <w:szCs w:val="28"/>
          <w:lang w:val="uk-UA"/>
        </w:rPr>
        <w:t xml:space="preserve"> випадках, статей 7 («Незалежність та самостійність») та 13 («Взаємовідносини з громадянами») – у </w:t>
      </w:r>
      <w:r w:rsidRPr="00CD07D7">
        <w:rPr>
          <w:rFonts w:ascii="Times New Roman" w:eastAsiaTheme="minorEastAsia" w:hAnsi="Times New Roman" w:cs="Times New Roman"/>
          <w:color w:val="auto"/>
          <w:sz w:val="28"/>
          <w:szCs w:val="28"/>
          <w:lang w:val="uk-UA"/>
        </w:rPr>
        <w:t>1</w:t>
      </w:r>
      <w:r w:rsidRPr="00CD07D7">
        <w:rPr>
          <w:rFonts w:ascii="Times New Roman" w:eastAsiaTheme="minorEastAsia" w:hAnsi="Times New Roman" w:cs="Times New Roman"/>
          <w:b w:val="0"/>
          <w:color w:val="auto"/>
          <w:sz w:val="28"/>
          <w:szCs w:val="28"/>
          <w:lang w:val="uk-UA"/>
        </w:rPr>
        <w:t xml:space="preserve"> випадку.</w:t>
      </w:r>
    </w:p>
    <w:p w:rsidR="002A26B8" w:rsidRPr="00CD07D7" w:rsidRDefault="002A26B8" w:rsidP="002A26B8">
      <w:p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 xml:space="preserve"> </w:t>
      </w:r>
      <w:r w:rsidR="002B6700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ab/>
      </w:r>
      <w:r w:rsidR="002B6700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ab/>
      </w: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 xml:space="preserve">Згідно з частинами другою, третьою статті 46 Закону України «Про прокуратуру» член Комісії своїм вмотивованим рішенням відмовляє у відкритті </w:t>
      </w: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lastRenderedPageBreak/>
        <w:t>дисциплінарного провадження</w:t>
      </w:r>
      <w:bookmarkStart w:id="1" w:name="n2545"/>
      <w:bookmarkStart w:id="2" w:name="n445"/>
      <w:bookmarkEnd w:id="1"/>
      <w:bookmarkEnd w:id="2"/>
      <w:r w:rsidR="00314918"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 xml:space="preserve"> за </w:t>
      </w: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відсутності підстав, передбачених частиною другою цієї статті.</w:t>
      </w:r>
    </w:p>
    <w:p w:rsidR="002A26B8" w:rsidRPr="00CD07D7" w:rsidRDefault="002A26B8" w:rsidP="002A26B8">
      <w:pPr>
        <w:tabs>
          <w:tab w:val="left" w:pos="426"/>
          <w:tab w:val="left" w:pos="5103"/>
        </w:tabs>
        <w:spacing w:after="240" w:line="240" w:lineRule="auto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 w:rsidRPr="00CD07D7">
        <w:rPr>
          <w:rFonts w:ascii="Times New Roman" w:hAnsi="Times New Roman" w:cs="Times New Roman"/>
          <w:b w:val="0"/>
          <w:noProof/>
          <w:color w:val="auto"/>
          <w:kern w:val="28"/>
          <w:szCs w:val="28"/>
          <w:lang w:val="uk-UA" w:eastAsia="uk-UA"/>
        </w:rPr>
        <w:drawing>
          <wp:inline distT="0" distB="0" distL="0" distR="0" wp14:anchorId="45AB9A92" wp14:editId="6355B6D7">
            <wp:extent cx="6029325" cy="1666875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A26B8" w:rsidRPr="00CD07D7" w:rsidRDefault="002A26B8" w:rsidP="002A26B8">
      <w:pPr>
        <w:tabs>
          <w:tab w:val="left" w:pos="426"/>
        </w:tabs>
        <w:spacing w:after="240" w:line="240" w:lineRule="auto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 w:rsidRPr="00CD07D7">
        <w:rPr>
          <w:rFonts w:ascii="Times New Roman" w:hAnsi="Times New Roman" w:cs="Times New Roman"/>
          <w:b w:val="0"/>
          <w:noProof/>
          <w:color w:val="auto"/>
          <w:kern w:val="28"/>
          <w:szCs w:val="28"/>
          <w:lang w:val="uk-UA" w:eastAsia="uk-UA"/>
        </w:rPr>
        <w:drawing>
          <wp:inline distT="0" distB="0" distL="0" distR="0" wp14:anchorId="6A545435" wp14:editId="402F69FE">
            <wp:extent cx="6096000" cy="3609975"/>
            <wp:effectExtent l="0" t="0" r="0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A26B8" w:rsidRPr="00CD07D7" w:rsidRDefault="002B6700" w:rsidP="00A218BE">
      <w:pPr>
        <w:tabs>
          <w:tab w:val="left" w:pos="709"/>
        </w:tabs>
        <w:spacing w:after="120" w:line="240" w:lineRule="auto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ab/>
      </w:r>
      <w:r w:rsidR="002A26B8"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 xml:space="preserve">Як видно, упродовж 2020 – 2022 років в абсолютній більшості випадків </w:t>
      </w:r>
      <w:r w:rsidR="002A26B8"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br/>
        <w:t xml:space="preserve">(73 %) за скаргами на порушення правил прокурорської етики приймалися рішення про відмову у відкритті дисциплінарного провадження, що відповідає загальній тенденції вирішення питання про відкриття дисциплінарного провадження. Так, щодо </w:t>
      </w:r>
      <w:r w:rsidR="002A26B8" w:rsidRPr="00A218BE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усіх</w:t>
      </w:r>
      <w:r w:rsidR="002A26B8"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 xml:space="preserve"> категорій дисциплінарних скарг цей показник у 2020 році склав – 75 %, за січень – серпень 2021 (період роботи кадрової комісії) – </w:t>
      </w:r>
      <w:r w:rsidR="00314918"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 xml:space="preserve">      </w:t>
      </w:r>
      <w:r w:rsidR="002A26B8"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78 %, у І півріччі 2022 року – 65 %.</w:t>
      </w:r>
    </w:p>
    <w:p w:rsidR="002A26B8" w:rsidRPr="00A218BE" w:rsidRDefault="00A218BE" w:rsidP="00A218BE">
      <w:p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ab/>
      </w:r>
      <w:r w:rsidRPr="00A218BE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М</w:t>
      </w:r>
      <w:r w:rsidR="002A26B8" w:rsidRPr="00A218BE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 xml:space="preserve">айже в усіх випадках (97%) підставою для відмови у відкритті дисциплінарного провадження стала відсутність в дисциплінарній скарзі конкретних відомостей про наявність ознак дисциплінарного проступку прокурора (пункт 1 частини другої статті 46 Закону), що також відповідає загальній тенденції розгляду скарг усіх категорій. Вивчення 2019, 2020 та 2021 років також показали, що зазначена підстава є найпоширенішою (понад 90 % випадків) для відмови у відкритті дисциплінарних проваджень. У інших випадках прийняття рішень про відмову у відкритті дисциплінарного </w:t>
      </w:r>
      <w:r w:rsidR="002A26B8" w:rsidRPr="00A218BE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lastRenderedPageBreak/>
        <w:t>провадження обумовлено пунктами 4, 5 частини другої статті 46 Закону (з прокурором, стосовно якого надійшла дисциплінарна скарга, припинено правовідносини у випадках, передбачених</w:t>
      </w:r>
      <w:hyperlink r:id="rId14" w:anchor="n505" w:history="1">
        <w:r w:rsidR="002A26B8" w:rsidRPr="00A218BE">
          <w:rPr>
            <w:rFonts w:ascii="Times New Roman" w:hAnsi="Times New Roman" w:cs="Times New Roman"/>
            <w:b w:val="0"/>
            <w:color w:val="auto"/>
            <w:kern w:val="28"/>
            <w:szCs w:val="28"/>
            <w:lang w:val="uk-UA"/>
          </w:rPr>
          <w:t> статтею 51</w:t>
        </w:r>
      </w:hyperlink>
      <w:r w:rsidR="002A26B8" w:rsidRPr="00A218BE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 Закону; дисциплінарний проступок, про який зазначено у дисциплінарній скарзі, вже був предметом перевірки і щодо нього Комісією прийнято рішення, яке не скасовано в установленому законом порядку).</w:t>
      </w:r>
    </w:p>
    <w:p w:rsidR="002A26B8" w:rsidRPr="00A218BE" w:rsidRDefault="00A218BE" w:rsidP="00A218BE">
      <w:p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ab/>
      </w:r>
      <w:r w:rsidR="002A26B8" w:rsidRPr="00A218BE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Достатньо поширеним також є ненадання разом з дисциплінарною скаргою рішення, у якому встановлені факти порушення прокурором прав осіб або умисного порушення вимог законодавства чи неналежного виконання службових обов’язків. Натомість, викладені у дисциплінарній скарзі доводи можуть фактично зводитися до незгоди з процесуальним рішенням прокурора, мотивами та обґрунтуванням прийнятого ним рішення, правильність якого з точки зору застосування норм матеріального права чи дотримання норм процесуального права може бути перевірено лише слідчим суддею, судом або прокурором вищого рівня у порядку, передбаченому Кримінальним процесуальним кодексом України.</w:t>
      </w:r>
    </w:p>
    <w:p w:rsidR="002A26B8" w:rsidRPr="00A218BE" w:rsidRDefault="00CD07D7" w:rsidP="00A218BE">
      <w:p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 w:rsidRPr="00A218BE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ab/>
      </w:r>
      <w:r w:rsidR="00A218BE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ab/>
      </w:r>
      <w:r w:rsidR="002A26B8" w:rsidRPr="00A218BE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 xml:space="preserve">Згідно з частиною п’ятою статті 48 Закону у разі відсутності підстав для накладення на прокурора дисциплінарного стягнення </w:t>
      </w:r>
      <w:r w:rsidR="00A218BE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Комісія</w:t>
      </w:r>
      <w:r w:rsidR="002A26B8" w:rsidRPr="00A218BE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 xml:space="preserve"> своїм рішенням закриває дисциплінарне провадження.</w:t>
      </w:r>
    </w:p>
    <w:p w:rsidR="002A26B8" w:rsidRPr="00A218BE" w:rsidRDefault="00A218BE" w:rsidP="00A218BE">
      <w:p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ab/>
        <w:t>У</w:t>
      </w:r>
      <w:r w:rsidR="002A26B8" w:rsidRPr="00A218BE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продовж 2020</w:t>
      </w:r>
      <w:r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-</w:t>
      </w:r>
      <w:r w:rsidR="002A26B8" w:rsidRPr="00A218BE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2021 років та І півріччя</w:t>
      </w:r>
      <w:r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 xml:space="preserve"> </w:t>
      </w:r>
      <w:r w:rsidR="002A26B8" w:rsidRPr="00A218BE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 xml:space="preserve">2022 року прийнято </w:t>
      </w:r>
      <w:r w:rsidR="002A26B8" w:rsidRPr="00A218BE">
        <w:rPr>
          <w:rFonts w:ascii="Times New Roman" w:hAnsi="Times New Roman" w:cs="Times New Roman"/>
          <w:color w:val="auto"/>
          <w:kern w:val="28"/>
          <w:szCs w:val="28"/>
          <w:lang w:val="uk-UA"/>
        </w:rPr>
        <w:t>72 рішення</w:t>
      </w:r>
      <w:r w:rsidR="002A26B8" w:rsidRPr="00A218BE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 xml:space="preserve"> про закриття дисциплінарних проваджень стосовно </w:t>
      </w:r>
      <w:r w:rsidR="002A26B8" w:rsidRPr="00A218BE">
        <w:rPr>
          <w:rFonts w:ascii="Times New Roman" w:hAnsi="Times New Roman" w:cs="Times New Roman"/>
          <w:color w:val="auto"/>
          <w:kern w:val="28"/>
          <w:szCs w:val="28"/>
          <w:lang w:val="uk-UA"/>
        </w:rPr>
        <w:t>89 прокурорів</w:t>
      </w:r>
      <w:r w:rsidR="002A26B8" w:rsidRPr="00A218BE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 xml:space="preserve">, що складає </w:t>
      </w:r>
      <w:r w:rsidR="002A26B8" w:rsidRPr="00A218BE">
        <w:rPr>
          <w:rFonts w:ascii="Times New Roman" w:hAnsi="Times New Roman" w:cs="Times New Roman"/>
          <w:color w:val="auto"/>
          <w:kern w:val="28"/>
          <w:szCs w:val="28"/>
          <w:lang w:val="uk-UA"/>
        </w:rPr>
        <w:t>52 %</w:t>
      </w:r>
      <w:r w:rsidR="002A26B8" w:rsidRPr="00A218BE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 xml:space="preserve"> від прийнятих рішень у дисциплінарних провадженнях за скаргами про можливі порушення прокурором правил прокурорської етики.</w:t>
      </w:r>
    </w:p>
    <w:p w:rsidR="002A26B8" w:rsidRPr="00CD07D7" w:rsidRDefault="002A26B8" w:rsidP="002A26B8">
      <w:pPr>
        <w:spacing w:after="240" w:line="240" w:lineRule="auto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 w:rsidRPr="00CD07D7">
        <w:rPr>
          <w:rFonts w:ascii="Times New Roman" w:hAnsi="Times New Roman" w:cs="Times New Roman"/>
          <w:b w:val="0"/>
          <w:noProof/>
          <w:color w:val="auto"/>
          <w:kern w:val="28"/>
          <w:szCs w:val="28"/>
          <w:lang w:val="uk-UA" w:eastAsia="uk-UA"/>
        </w:rPr>
        <w:drawing>
          <wp:inline distT="0" distB="0" distL="0" distR="0" wp14:anchorId="76020EF6" wp14:editId="4804DD77">
            <wp:extent cx="6048375" cy="2657475"/>
            <wp:effectExtent l="0" t="0" r="9525" b="952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A26B8" w:rsidRPr="00CD07D7" w:rsidRDefault="00A218BE" w:rsidP="00A218BE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ab/>
      </w:r>
      <w:r w:rsidR="00CD07D7"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О</w:t>
      </w:r>
      <w:r w:rsidR="002A26B8"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сновною причиною закриття дисциплінарного провадження є те, що зазначені в дисциплінарній скарзі обставини у ході перевірки не знаходять свого об’єктивного підтвердження. Нерідко, цьому сприяє ненадання достатніх доказів самим скаржником або неправильна кваліфікація дій прокурора як порушення правил прокурорської етики.</w:t>
      </w:r>
    </w:p>
    <w:p w:rsidR="00C1170B" w:rsidRPr="00CD07D7" w:rsidRDefault="00C1170B">
      <w:pPr>
        <w:rPr>
          <w:rFonts w:ascii="Times New Roman" w:hAnsi="Times New Roman" w:cs="Times New Roman"/>
          <w:color w:val="auto"/>
          <w:szCs w:val="28"/>
        </w:rPr>
      </w:pPr>
    </w:p>
    <w:sectPr w:rsidR="00C1170B" w:rsidRPr="00CD07D7" w:rsidSect="00E26D9E">
      <w:pgSz w:w="11906" w:h="16838" w:code="9"/>
      <w:pgMar w:top="1134" w:right="567" w:bottom="1134" w:left="1701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CA9" w:rsidRDefault="00C61CA9" w:rsidP="002A26B8">
      <w:pPr>
        <w:spacing w:line="240" w:lineRule="auto"/>
      </w:pPr>
      <w:r>
        <w:separator/>
      </w:r>
    </w:p>
  </w:endnote>
  <w:endnote w:type="continuationSeparator" w:id="0">
    <w:p w:rsidR="00C61CA9" w:rsidRDefault="00C61CA9" w:rsidP="002A26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CA9" w:rsidRDefault="00C61CA9" w:rsidP="002A26B8">
      <w:pPr>
        <w:spacing w:line="240" w:lineRule="auto"/>
      </w:pPr>
      <w:r>
        <w:separator/>
      </w:r>
    </w:p>
  </w:footnote>
  <w:footnote w:type="continuationSeparator" w:id="0">
    <w:p w:rsidR="00C61CA9" w:rsidRDefault="00C61CA9" w:rsidP="002A26B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64A"/>
    <w:multiLevelType w:val="hybridMultilevel"/>
    <w:tmpl w:val="C5C0CF82"/>
    <w:lvl w:ilvl="0" w:tplc="D9EA7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601AE"/>
    <w:multiLevelType w:val="hybridMultilevel"/>
    <w:tmpl w:val="36BA0A10"/>
    <w:lvl w:ilvl="0" w:tplc="D9EA7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C74DE"/>
    <w:multiLevelType w:val="hybridMultilevel"/>
    <w:tmpl w:val="921A7048"/>
    <w:lvl w:ilvl="0" w:tplc="D9EA7E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9C3B85"/>
    <w:multiLevelType w:val="multilevel"/>
    <w:tmpl w:val="EE62DB6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4" w15:restartNumberingAfterBreak="0">
    <w:nsid w:val="1C43726A"/>
    <w:multiLevelType w:val="hybridMultilevel"/>
    <w:tmpl w:val="169A69D4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5330B"/>
    <w:multiLevelType w:val="hybridMultilevel"/>
    <w:tmpl w:val="B742CF2A"/>
    <w:lvl w:ilvl="0" w:tplc="D9EA7E5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4EF7D08"/>
    <w:multiLevelType w:val="hybridMultilevel"/>
    <w:tmpl w:val="BBFA16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4F60D70"/>
    <w:multiLevelType w:val="hybridMultilevel"/>
    <w:tmpl w:val="68CE35C4"/>
    <w:lvl w:ilvl="0" w:tplc="D9EA7E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7201061"/>
    <w:multiLevelType w:val="hybridMultilevel"/>
    <w:tmpl w:val="04769AFC"/>
    <w:lvl w:ilvl="0" w:tplc="D9EA7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A223D"/>
    <w:multiLevelType w:val="hybridMultilevel"/>
    <w:tmpl w:val="61A43BE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D465672"/>
    <w:multiLevelType w:val="hybridMultilevel"/>
    <w:tmpl w:val="446659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A3EAE"/>
    <w:multiLevelType w:val="hybridMultilevel"/>
    <w:tmpl w:val="530EA3F4"/>
    <w:lvl w:ilvl="0" w:tplc="D9EA7E5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4077ECF"/>
    <w:multiLevelType w:val="hybridMultilevel"/>
    <w:tmpl w:val="5F8E36EC"/>
    <w:lvl w:ilvl="0" w:tplc="D9EA7E5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6002B6C"/>
    <w:multiLevelType w:val="hybridMultilevel"/>
    <w:tmpl w:val="1B1C467C"/>
    <w:lvl w:ilvl="0" w:tplc="D9EA7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32F88"/>
    <w:multiLevelType w:val="hybridMultilevel"/>
    <w:tmpl w:val="51CE9B54"/>
    <w:lvl w:ilvl="0" w:tplc="D9EA7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E4C48"/>
    <w:multiLevelType w:val="hybridMultilevel"/>
    <w:tmpl w:val="76E24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C4FA2"/>
    <w:multiLevelType w:val="hybridMultilevel"/>
    <w:tmpl w:val="7C3224AC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E61C5"/>
    <w:multiLevelType w:val="hybridMultilevel"/>
    <w:tmpl w:val="160E9B18"/>
    <w:lvl w:ilvl="0" w:tplc="D9EA7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F5E43"/>
    <w:multiLevelType w:val="hybridMultilevel"/>
    <w:tmpl w:val="A5A4F1E2"/>
    <w:lvl w:ilvl="0" w:tplc="3ECCA2B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5E6A5730"/>
    <w:multiLevelType w:val="hybridMultilevel"/>
    <w:tmpl w:val="1BFA9110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BE6FFE"/>
    <w:multiLevelType w:val="hybridMultilevel"/>
    <w:tmpl w:val="D4BCBB26"/>
    <w:lvl w:ilvl="0" w:tplc="041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0F7427"/>
    <w:multiLevelType w:val="hybridMultilevel"/>
    <w:tmpl w:val="C09A5852"/>
    <w:lvl w:ilvl="0" w:tplc="D9EA7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8369D"/>
    <w:multiLevelType w:val="hybridMultilevel"/>
    <w:tmpl w:val="8EB2A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806E7D"/>
    <w:multiLevelType w:val="hybridMultilevel"/>
    <w:tmpl w:val="337EF024"/>
    <w:lvl w:ilvl="0" w:tplc="D9EA7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734EDD"/>
    <w:multiLevelType w:val="hybridMultilevel"/>
    <w:tmpl w:val="55FE63E8"/>
    <w:lvl w:ilvl="0" w:tplc="D9EA7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856867"/>
    <w:multiLevelType w:val="hybridMultilevel"/>
    <w:tmpl w:val="F586B392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22"/>
  </w:num>
  <w:num w:numId="4">
    <w:abstractNumId w:val="7"/>
  </w:num>
  <w:num w:numId="5">
    <w:abstractNumId w:val="21"/>
  </w:num>
  <w:num w:numId="6">
    <w:abstractNumId w:val="10"/>
  </w:num>
  <w:num w:numId="7">
    <w:abstractNumId w:val="18"/>
  </w:num>
  <w:num w:numId="8">
    <w:abstractNumId w:val="14"/>
  </w:num>
  <w:num w:numId="9">
    <w:abstractNumId w:val="24"/>
  </w:num>
  <w:num w:numId="10">
    <w:abstractNumId w:val="3"/>
  </w:num>
  <w:num w:numId="11">
    <w:abstractNumId w:val="13"/>
  </w:num>
  <w:num w:numId="12">
    <w:abstractNumId w:val="2"/>
  </w:num>
  <w:num w:numId="13">
    <w:abstractNumId w:val="6"/>
  </w:num>
  <w:num w:numId="14">
    <w:abstractNumId w:val="9"/>
  </w:num>
  <w:num w:numId="15">
    <w:abstractNumId w:val="0"/>
  </w:num>
  <w:num w:numId="16">
    <w:abstractNumId w:val="1"/>
  </w:num>
  <w:num w:numId="17">
    <w:abstractNumId w:val="11"/>
  </w:num>
  <w:num w:numId="18">
    <w:abstractNumId w:val="20"/>
  </w:num>
  <w:num w:numId="19">
    <w:abstractNumId w:val="5"/>
  </w:num>
  <w:num w:numId="20">
    <w:abstractNumId w:val="17"/>
  </w:num>
  <w:num w:numId="21">
    <w:abstractNumId w:val="8"/>
  </w:num>
  <w:num w:numId="22">
    <w:abstractNumId w:val="15"/>
  </w:num>
  <w:num w:numId="23">
    <w:abstractNumId w:val="25"/>
  </w:num>
  <w:num w:numId="24">
    <w:abstractNumId w:val="4"/>
  </w:num>
  <w:num w:numId="25">
    <w:abstractNumId w:val="16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22"/>
    <w:rsid w:val="002434E3"/>
    <w:rsid w:val="002A26B8"/>
    <w:rsid w:val="002B6700"/>
    <w:rsid w:val="00314918"/>
    <w:rsid w:val="003A6E22"/>
    <w:rsid w:val="006235A3"/>
    <w:rsid w:val="007E74BD"/>
    <w:rsid w:val="008D71EA"/>
    <w:rsid w:val="009364D1"/>
    <w:rsid w:val="00A218BE"/>
    <w:rsid w:val="00B0222B"/>
    <w:rsid w:val="00BD062E"/>
    <w:rsid w:val="00C1170B"/>
    <w:rsid w:val="00C61CA9"/>
    <w:rsid w:val="00CD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757A8-4201-4094-B5ED-88462ADD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6B8"/>
    <w:pPr>
      <w:spacing w:after="0" w:line="276" w:lineRule="auto"/>
    </w:pPr>
    <w:rPr>
      <w:rFonts w:eastAsiaTheme="minorEastAsia"/>
      <w:b/>
      <w:color w:val="44546A" w:themeColor="text2"/>
      <w:sz w:val="28"/>
    </w:rPr>
  </w:style>
  <w:style w:type="paragraph" w:styleId="1">
    <w:name w:val="heading 1"/>
    <w:basedOn w:val="a"/>
    <w:link w:val="10"/>
    <w:uiPriority w:val="4"/>
    <w:qFormat/>
    <w:rsid w:val="002A26B8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323E4F" w:themeColor="text2" w:themeShade="BF"/>
      <w:kern w:val="28"/>
      <w:sz w:val="52"/>
      <w:szCs w:val="32"/>
    </w:rPr>
  </w:style>
  <w:style w:type="paragraph" w:styleId="2">
    <w:name w:val="heading 2"/>
    <w:basedOn w:val="a"/>
    <w:next w:val="a"/>
    <w:link w:val="20"/>
    <w:uiPriority w:val="4"/>
    <w:qFormat/>
    <w:rsid w:val="002A26B8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4"/>
    <w:rsid w:val="002A26B8"/>
    <w:rPr>
      <w:rFonts w:asciiTheme="majorHAnsi" w:eastAsiaTheme="majorEastAsia" w:hAnsiTheme="majorHAnsi" w:cstheme="majorBidi"/>
      <w:b/>
      <w:color w:val="323E4F" w:themeColor="text2" w:themeShade="BF"/>
      <w:kern w:val="28"/>
      <w:sz w:val="52"/>
      <w:szCs w:val="32"/>
    </w:rPr>
  </w:style>
  <w:style w:type="character" w:customStyle="1" w:styleId="20">
    <w:name w:val="Заголовок 2 Знак"/>
    <w:basedOn w:val="a0"/>
    <w:link w:val="2"/>
    <w:uiPriority w:val="4"/>
    <w:rsid w:val="002A26B8"/>
    <w:rPr>
      <w:rFonts w:eastAsiaTheme="majorEastAsia" w:cstheme="majorBidi"/>
      <w:color w:val="44546A" w:themeColor="text2"/>
      <w:sz w:val="3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2A26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6B8"/>
    <w:rPr>
      <w:rFonts w:ascii="Tahoma" w:eastAsiaTheme="minorEastAsia" w:hAnsi="Tahoma" w:cs="Tahoma"/>
      <w:b/>
      <w:color w:val="44546A" w:themeColor="text2"/>
      <w:sz w:val="16"/>
      <w:szCs w:val="16"/>
    </w:rPr>
  </w:style>
  <w:style w:type="paragraph" w:styleId="a5">
    <w:name w:val="Title"/>
    <w:basedOn w:val="a"/>
    <w:link w:val="a6"/>
    <w:uiPriority w:val="1"/>
    <w:qFormat/>
    <w:rsid w:val="002A26B8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a6">
    <w:name w:val="Заголовок Знак"/>
    <w:basedOn w:val="a0"/>
    <w:link w:val="a5"/>
    <w:uiPriority w:val="1"/>
    <w:rsid w:val="002A26B8"/>
    <w:rPr>
      <w:rFonts w:asciiTheme="majorHAnsi" w:eastAsiaTheme="majorEastAsia" w:hAnsiTheme="majorHAnsi" w:cstheme="majorBidi"/>
      <w:b/>
      <w:bCs/>
      <w:color w:val="44546A" w:themeColor="text2"/>
      <w:sz w:val="72"/>
      <w:szCs w:val="52"/>
    </w:rPr>
  </w:style>
  <w:style w:type="paragraph" w:styleId="a7">
    <w:name w:val="Subtitle"/>
    <w:basedOn w:val="a"/>
    <w:link w:val="a8"/>
    <w:uiPriority w:val="2"/>
    <w:qFormat/>
    <w:rsid w:val="002A26B8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a8">
    <w:name w:val="Подзаголовок Знак"/>
    <w:basedOn w:val="a0"/>
    <w:link w:val="a7"/>
    <w:uiPriority w:val="2"/>
    <w:rsid w:val="002A26B8"/>
    <w:rPr>
      <w:rFonts w:eastAsiaTheme="minorEastAsia"/>
      <w:caps/>
      <w:color w:val="44546A" w:themeColor="text2"/>
      <w:spacing w:val="20"/>
      <w:sz w:val="32"/>
    </w:rPr>
  </w:style>
  <w:style w:type="paragraph" w:styleId="a9">
    <w:name w:val="header"/>
    <w:basedOn w:val="a"/>
    <w:link w:val="aa"/>
    <w:uiPriority w:val="8"/>
    <w:unhideWhenUsed/>
    <w:rsid w:val="002A26B8"/>
  </w:style>
  <w:style w:type="character" w:customStyle="1" w:styleId="aa">
    <w:name w:val="Верхний колонтитул Знак"/>
    <w:basedOn w:val="a0"/>
    <w:link w:val="a9"/>
    <w:uiPriority w:val="8"/>
    <w:rsid w:val="002A26B8"/>
    <w:rPr>
      <w:rFonts w:eastAsiaTheme="minorEastAsia"/>
      <w:b/>
      <w:color w:val="44546A" w:themeColor="text2"/>
      <w:sz w:val="28"/>
    </w:rPr>
  </w:style>
  <w:style w:type="paragraph" w:styleId="ab">
    <w:name w:val="footer"/>
    <w:basedOn w:val="a"/>
    <w:link w:val="ac"/>
    <w:uiPriority w:val="99"/>
    <w:unhideWhenUsed/>
    <w:rsid w:val="002A26B8"/>
  </w:style>
  <w:style w:type="character" w:customStyle="1" w:styleId="ac">
    <w:name w:val="Нижний колонтитул Знак"/>
    <w:basedOn w:val="a0"/>
    <w:link w:val="ab"/>
    <w:uiPriority w:val="99"/>
    <w:rsid w:val="002A26B8"/>
    <w:rPr>
      <w:rFonts w:eastAsiaTheme="minorEastAsia"/>
      <w:b/>
      <w:color w:val="44546A" w:themeColor="text2"/>
      <w:sz w:val="28"/>
    </w:rPr>
  </w:style>
  <w:style w:type="paragraph" w:customStyle="1" w:styleId="ad">
    <w:name w:val="Имя"/>
    <w:basedOn w:val="a"/>
    <w:uiPriority w:val="3"/>
    <w:qFormat/>
    <w:rsid w:val="002A26B8"/>
    <w:pPr>
      <w:spacing w:line="240" w:lineRule="auto"/>
      <w:jc w:val="right"/>
    </w:pPr>
  </w:style>
  <w:style w:type="table" w:styleId="ae">
    <w:name w:val="Table Grid"/>
    <w:basedOn w:val="a1"/>
    <w:uiPriority w:val="1"/>
    <w:rsid w:val="002A26B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unhideWhenUsed/>
    <w:rsid w:val="002A26B8"/>
    <w:rPr>
      <w:color w:val="808080"/>
    </w:rPr>
  </w:style>
  <w:style w:type="paragraph" w:customStyle="1" w:styleId="af0">
    <w:name w:val="Содержимое"/>
    <w:basedOn w:val="a"/>
    <w:link w:val="af1"/>
    <w:qFormat/>
    <w:rsid w:val="002A26B8"/>
    <w:rPr>
      <w:b w:val="0"/>
    </w:rPr>
  </w:style>
  <w:style w:type="paragraph" w:customStyle="1" w:styleId="af2">
    <w:name w:val="Выделенный текст"/>
    <w:basedOn w:val="a"/>
    <w:link w:val="af3"/>
    <w:qFormat/>
    <w:rsid w:val="002A26B8"/>
  </w:style>
  <w:style w:type="character" w:customStyle="1" w:styleId="af1">
    <w:name w:val="Содержимое (знак)"/>
    <w:basedOn w:val="a0"/>
    <w:link w:val="af0"/>
    <w:rsid w:val="002A26B8"/>
    <w:rPr>
      <w:rFonts w:eastAsiaTheme="minorEastAsia"/>
      <w:color w:val="44546A" w:themeColor="text2"/>
      <w:sz w:val="28"/>
    </w:rPr>
  </w:style>
  <w:style w:type="character" w:customStyle="1" w:styleId="af3">
    <w:name w:val="Выделенный текст (знак)"/>
    <w:basedOn w:val="a0"/>
    <w:link w:val="af2"/>
    <w:rsid w:val="002A26B8"/>
    <w:rPr>
      <w:rFonts w:eastAsiaTheme="minorEastAsia"/>
      <w:b/>
      <w:color w:val="44546A" w:themeColor="text2"/>
      <w:sz w:val="28"/>
    </w:rPr>
  </w:style>
  <w:style w:type="paragraph" w:styleId="af4">
    <w:name w:val="List Paragraph"/>
    <w:basedOn w:val="a"/>
    <w:uiPriority w:val="34"/>
    <w:qFormat/>
    <w:rsid w:val="002A26B8"/>
    <w:pPr>
      <w:spacing w:after="160" w:line="259" w:lineRule="auto"/>
      <w:ind w:left="720"/>
      <w:contextualSpacing/>
    </w:pPr>
    <w:rPr>
      <w:rFonts w:ascii="Times New Roman" w:eastAsiaTheme="minorHAnsi" w:hAnsi="Times New Roman"/>
      <w:b w:val="0"/>
      <w:color w:val="auto"/>
      <w:kern w:val="28"/>
      <w:lang w:val="uk-UA"/>
    </w:rPr>
  </w:style>
  <w:style w:type="character" w:styleId="af5">
    <w:name w:val="Emphasis"/>
    <w:basedOn w:val="a0"/>
    <w:uiPriority w:val="20"/>
    <w:qFormat/>
    <w:rsid w:val="002A26B8"/>
    <w:rPr>
      <w:i/>
      <w:iCs/>
    </w:rPr>
  </w:style>
  <w:style w:type="paragraph" w:customStyle="1" w:styleId="rvps2">
    <w:name w:val="rvps2"/>
    <w:basedOn w:val="a"/>
    <w:rsid w:val="002A2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paragraph" w:styleId="af6">
    <w:name w:val="footnote text"/>
    <w:basedOn w:val="a"/>
    <w:link w:val="af7"/>
    <w:uiPriority w:val="99"/>
    <w:semiHidden/>
    <w:unhideWhenUsed/>
    <w:rsid w:val="002A26B8"/>
    <w:pPr>
      <w:spacing w:line="240" w:lineRule="auto"/>
      <w:jc w:val="both"/>
    </w:pPr>
    <w:rPr>
      <w:rFonts w:ascii="Times New Roman" w:eastAsiaTheme="minorHAnsi" w:hAnsi="Times New Roman"/>
      <w:b w:val="0"/>
      <w:color w:val="auto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2A26B8"/>
    <w:rPr>
      <w:rFonts w:ascii="Times New Roman" w:hAnsi="Times New Roman"/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2A26B8"/>
    <w:rPr>
      <w:vertAlign w:val="superscript"/>
    </w:rPr>
  </w:style>
  <w:style w:type="character" w:customStyle="1" w:styleId="rvts46">
    <w:name w:val="rvts46"/>
    <w:basedOn w:val="a0"/>
    <w:rsid w:val="002A26B8"/>
  </w:style>
  <w:style w:type="character" w:styleId="af9">
    <w:name w:val="Hyperlink"/>
    <w:basedOn w:val="a0"/>
    <w:uiPriority w:val="99"/>
    <w:semiHidden/>
    <w:unhideWhenUsed/>
    <w:rsid w:val="002A26B8"/>
    <w:rPr>
      <w:color w:val="0000FF"/>
      <w:u w:val="single"/>
    </w:rPr>
  </w:style>
  <w:style w:type="paragraph" w:styleId="afa">
    <w:name w:val="No Spacing"/>
    <w:uiPriority w:val="1"/>
    <w:qFormat/>
    <w:rsid w:val="002A26B8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paragraph" w:customStyle="1" w:styleId="11">
    <w:name w:val="Без интервала1"/>
    <w:uiPriority w:val="99"/>
    <w:rsid w:val="002A26B8"/>
    <w:pPr>
      <w:spacing w:after="0" w:line="240" w:lineRule="auto"/>
    </w:pPr>
    <w:rPr>
      <w:rFonts w:ascii="Cambria" w:eastAsia="Times New Roman" w:hAnsi="Cambria" w:cs="Cambria"/>
      <w:sz w:val="28"/>
      <w:szCs w:val="28"/>
    </w:rPr>
  </w:style>
  <w:style w:type="character" w:customStyle="1" w:styleId="rvts0">
    <w:name w:val="rvts0"/>
    <w:basedOn w:val="a0"/>
    <w:qFormat/>
    <w:rsid w:val="002A26B8"/>
  </w:style>
  <w:style w:type="paragraph" w:styleId="afb">
    <w:name w:val="Normal (Web)"/>
    <w:basedOn w:val="a"/>
    <w:uiPriority w:val="99"/>
    <w:unhideWhenUsed/>
    <w:rsid w:val="002A2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character" w:customStyle="1" w:styleId="rvts11">
    <w:name w:val="rvts11"/>
    <w:basedOn w:val="a0"/>
    <w:rsid w:val="002A26B8"/>
  </w:style>
  <w:style w:type="paragraph" w:styleId="afc">
    <w:name w:val="caption"/>
    <w:basedOn w:val="a"/>
    <w:next w:val="a"/>
    <w:uiPriority w:val="99"/>
    <w:unhideWhenUsed/>
    <w:rsid w:val="002A26B8"/>
    <w:pPr>
      <w:spacing w:after="200" w:line="240" w:lineRule="auto"/>
    </w:pPr>
    <w:rPr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8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yperlink" Target="https://zakon.rada.gov.ua/laws/show/1697-18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300" i="1">
                <a:solidFill>
                  <a:schemeClr val="tx2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Відомості про надходження дисциплінарних скарг </a:t>
            </a:r>
            <a:r>
              <a:rPr lang="ru-RU" sz="1100" i="1">
                <a:solidFill>
                  <a:schemeClr val="tx2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(загалом за 2020 - 2021 роки, І півріччя 2022 року)</a:t>
            </a:r>
          </a:p>
        </c:rich>
      </c:tx>
      <c:layout>
        <c:manualLayout>
          <c:xMode val="edge"/>
          <c:yMode val="edge"/>
          <c:x val="0.13068717948717948"/>
          <c:y val="1.257770410277662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4598719160104987"/>
          <c:y val="0.29423884514435694"/>
          <c:w val="0.49114330708661408"/>
          <c:h val="0.6137456831054013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14"/>
          <c:dPt>
            <c:idx val="0"/>
            <c:bubble3D val="0"/>
            <c:explosion val="21"/>
            <c:spPr>
              <a:gradFill rotWithShape="1">
                <a:gsLst>
                  <a:gs pos="0">
                    <a:schemeClr val="accent1">
                      <a:shade val="76000"/>
                      <a:tint val="100000"/>
                      <a:shade val="75000"/>
                      <a:satMod val="160000"/>
                    </a:schemeClr>
                  </a:gs>
                  <a:gs pos="62000">
                    <a:schemeClr val="accent1">
                      <a:shade val="76000"/>
                      <a:tint val="100000"/>
                      <a:shade val="100000"/>
                      <a:satMod val="125000"/>
                    </a:schemeClr>
                  </a:gs>
                  <a:gs pos="100000">
                    <a:schemeClr val="accent1">
                      <a:shade val="76000"/>
                      <a:tint val="80000"/>
                      <a:shade val="100000"/>
                      <a:satMod val="140000"/>
                    </a:schemeClr>
                  </a:gs>
                </a:gsLst>
                <a:lin ang="16200000" scaled="1"/>
              </a:gradFill>
              <a:ln>
                <a:noFill/>
              </a:ln>
              <a:effectLst/>
              <a:scene3d>
                <a:camera prst="orthographicFront" fov="0">
                  <a:rot lat="0" lon="0" rev="0"/>
                </a:camera>
                <a:lightRig rig="threePt" dir="t">
                  <a:rot lat="0" lon="0" rev="0"/>
                </a:lightRig>
              </a:scene3d>
              <a:sp3d>
                <a:bevelT w="139700" h="38100"/>
                <a:contourClr>
                  <a:scrgbClr r="0" g="0" b="0">
                    <a:tint val="100000"/>
                    <a:shade val="100000"/>
                    <a:satMod val="100000"/>
                  </a:scrgb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5F5-4F9D-A5FD-4A99F360D505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1">
                      <a:tint val="77000"/>
                      <a:tint val="100000"/>
                      <a:shade val="75000"/>
                      <a:satMod val="160000"/>
                    </a:schemeClr>
                  </a:gs>
                  <a:gs pos="62000">
                    <a:schemeClr val="accent1">
                      <a:tint val="77000"/>
                      <a:tint val="100000"/>
                      <a:shade val="100000"/>
                      <a:satMod val="125000"/>
                    </a:schemeClr>
                  </a:gs>
                  <a:gs pos="100000">
                    <a:schemeClr val="accent1">
                      <a:tint val="77000"/>
                      <a:tint val="80000"/>
                      <a:shade val="100000"/>
                      <a:satMod val="140000"/>
                    </a:schemeClr>
                  </a:gs>
                </a:gsLst>
                <a:lin ang="16200000" scaled="1"/>
              </a:gradFill>
              <a:ln>
                <a:noFill/>
              </a:ln>
              <a:effectLst/>
              <a:scene3d>
                <a:camera prst="orthographicFront" fov="0">
                  <a:rot lat="0" lon="0" rev="0"/>
                </a:camera>
                <a:lightRig rig="threePt" dir="t">
                  <a:rot lat="0" lon="0" rev="0"/>
                </a:lightRig>
              </a:scene3d>
              <a:sp3d>
                <a:bevelT w="139700" h="38100"/>
                <a:contourClr>
                  <a:scrgbClr r="0" g="0" b="0">
                    <a:tint val="100000"/>
                    <a:shade val="100000"/>
                    <a:satMod val="100000"/>
                  </a:scrgb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5F5-4F9D-A5FD-4A99F360D505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bg1"/>
                      </a:solidFill>
                      <a:latin typeface="+mj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E5F5-4F9D-A5FD-4A99F360D505}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100" b="1" i="0" u="none" strike="noStrike" kern="1200" baseline="0">
                        <a:solidFill>
                          <a:schemeClr val="bg1"/>
                        </a:solidFill>
                        <a:latin typeface="+mj-lt"/>
                        <a:ea typeface="+mn-ea"/>
                        <a:cs typeface="+mn-cs"/>
                      </a:defRPr>
                    </a:pPr>
                    <a:fld id="{C35C2DD8-F41E-42C0-BC22-F48784727521}" type="VALUE">
                      <a:rPr lang="en-US" sz="1100">
                        <a:latin typeface="+mj-lt"/>
                      </a:rPr>
                      <a:pPr>
                        <a:defRPr sz="1100" b="1">
                          <a:solidFill>
                            <a:schemeClr val="bg1"/>
                          </a:solidFill>
                          <a:latin typeface="+mj-lt"/>
                        </a:defRPr>
                      </a:pPr>
                      <a:t>[ЗНАЧЕНИЕ]</a:t>
                    </a:fld>
                    <a:endParaRPr lang="uk-UA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bg1"/>
                      </a:solidFill>
                      <a:latin typeface="+mj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5F5-4F9D-A5FD-4A99F360D50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Скарги за п. 6 ч. 1 ст. 43 
ЗУ "Про прокуратуру"</c:v>
                </c:pt>
                <c:pt idx="1">
                  <c:v>Інші скарги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0.21</c:v>
                </c:pt>
                <c:pt idx="1">
                  <c:v>0.79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5F5-4F9D-A5FD-4A99F360D5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2"/>
                </a:solidFill>
                <a:latin typeface="+mj-lt"/>
                <a:ea typeface="+mn-ea"/>
                <a:cs typeface="+mn-cs"/>
              </a:defRPr>
            </a:pPr>
            <a:endParaRPr lang="uk-UA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2"/>
                </a:solidFill>
                <a:latin typeface="+mj-lt"/>
                <a:ea typeface="+mn-ea"/>
                <a:cs typeface="+mn-cs"/>
              </a:defRPr>
            </a:pPr>
            <a:endParaRPr lang="uk-UA"/>
          </a:p>
        </c:txPr>
      </c:legendEntry>
      <c:layout>
        <c:manualLayout>
          <c:xMode val="edge"/>
          <c:yMode val="edge"/>
          <c:x val="1.9696668685645062E-2"/>
          <c:y val="0.31688492885757708"/>
          <c:w val="0.35732105794468"/>
          <c:h val="0.2856423539162868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00" b="0" i="0" u="none" strike="noStrike" kern="1200" spc="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r>
              <a:rPr lang="ru-RU" sz="1300" b="1" i="1">
                <a:solidFill>
                  <a:sysClr val="windowText" lastClr="000000"/>
                </a:solidFill>
                <a:latin typeface="+mj-lt"/>
              </a:rPr>
              <a:t>Частка</a:t>
            </a:r>
            <a:r>
              <a:rPr lang="ru-RU" sz="1300" b="1" i="1" baseline="0">
                <a:solidFill>
                  <a:sysClr val="windowText" lastClr="000000"/>
                </a:solidFill>
                <a:latin typeface="+mj-lt"/>
              </a:rPr>
              <a:t> </a:t>
            </a:r>
            <a:r>
              <a:rPr lang="ru-RU" sz="1300" b="1" i="1">
                <a:solidFill>
                  <a:sysClr val="windowText" lastClr="000000"/>
                </a:solidFill>
                <a:latin typeface="+mj-lt"/>
              </a:rPr>
              <a:t>дисциплінарних скарг про</a:t>
            </a:r>
            <a:r>
              <a:rPr lang="ru-RU" sz="1300" b="1" i="1" baseline="0">
                <a:solidFill>
                  <a:sysClr val="windowText" lastClr="000000"/>
                </a:solidFill>
                <a:latin typeface="+mj-lt"/>
              </a:rPr>
              <a:t> порушення </a:t>
            </a:r>
            <a:br>
              <a:rPr lang="ru-RU" sz="1300" b="1" i="1" baseline="0">
                <a:solidFill>
                  <a:sysClr val="windowText" lastClr="000000"/>
                </a:solidFill>
                <a:latin typeface="+mj-lt"/>
              </a:rPr>
            </a:br>
            <a:r>
              <a:rPr lang="ru-RU" sz="1300" b="1" i="1" baseline="0">
                <a:solidFill>
                  <a:sysClr val="windowText" lastClr="000000"/>
                </a:solidFill>
                <a:latin typeface="+mj-lt"/>
              </a:rPr>
              <a:t>правил прокурорської етики </a:t>
            </a:r>
            <a:endParaRPr lang="ru-RU" sz="1300" b="1" i="1">
              <a:solidFill>
                <a:sysClr val="windowText" lastClr="000000"/>
              </a:solidFill>
              <a:latin typeface="+mj-lt"/>
            </a:endParaRPr>
          </a:p>
          <a:p>
            <a:pPr>
              <a:defRPr sz="1300">
                <a:solidFill>
                  <a:sysClr val="windowText" lastClr="000000"/>
                </a:solidFill>
                <a:latin typeface="+mj-lt"/>
              </a:defRPr>
            </a:pPr>
            <a:r>
              <a:rPr lang="ru-RU" sz="1100" b="1" i="1">
                <a:solidFill>
                  <a:sysClr val="windowText" lastClr="000000"/>
                </a:solidFill>
                <a:latin typeface="+mj-lt"/>
              </a:rPr>
              <a:t>(окремо</a:t>
            </a:r>
            <a:r>
              <a:rPr lang="ru-RU" sz="1100" b="1" i="1" baseline="0">
                <a:solidFill>
                  <a:sysClr val="windowText" lastClr="000000"/>
                </a:solidFill>
                <a:latin typeface="+mj-lt"/>
              </a:rPr>
              <a:t> за кожен рік</a:t>
            </a:r>
            <a:r>
              <a:rPr lang="ru-RU" sz="1100" b="1" i="1">
                <a:solidFill>
                  <a:sysClr val="windowText" lastClr="000000"/>
                </a:solidFill>
                <a:latin typeface="+mj-lt"/>
              </a:rPr>
              <a:t>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0" i="0" u="none" strike="noStrike" kern="1200" spc="0" baseline="0">
              <a:solidFill>
                <a:sysClr val="windowText" lastClr="000000"/>
              </a:solidFill>
              <a:latin typeface="+mj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039022878045756"/>
          <c:y val="0.26263060867391574"/>
          <c:w val="0.77711633289933246"/>
          <c:h val="0.70233275718583954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tint val="100000"/>
                <a:shade val="100000"/>
                <a:satMod val="10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tx>
                <c:rich>
                  <a:bodyPr/>
                  <a:lstStyle/>
                  <a:p>
                    <a:fld id="{22EE09CE-6DB9-4C36-9C4B-6421DD5246C3}" type="VALUE">
                      <a:rPr lang="en-US">
                        <a:solidFill>
                          <a:schemeClr val="bg1"/>
                        </a:solidFill>
                      </a:rPr>
                      <a:pPr/>
                      <a:t>[ЗНАЧЕНИЕ]</a:t>
                    </a:fld>
                    <a:endParaRPr lang="uk-UA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8654-44AC-8095-D50E9BF4888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+mj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січень-травень 
2022 року</c:v>
                </c:pt>
                <c:pt idx="1">
                  <c:v>2021 рік</c:v>
                </c:pt>
                <c:pt idx="2">
                  <c:v>2020 рік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0.15</c:v>
                </c:pt>
                <c:pt idx="1">
                  <c:v>0.23</c:v>
                </c:pt>
                <c:pt idx="2">
                  <c:v>0.21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654-44AC-8095-D50E9BF488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shape val="box"/>
        <c:axId val="495038936"/>
        <c:axId val="495039592"/>
        <c:axId val="0"/>
      </c:bar3DChart>
      <c:catAx>
        <c:axId val="4950389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0" spcFirstLastPara="1" vertOverflow="ellipsis" wrap="square" anchor="ctr" anchorCtr="0"/>
          <a:lstStyle/>
          <a:p>
            <a:pPr>
              <a:defRPr sz="1100" b="1" i="0" u="none" strike="noStrike" kern="1200" baseline="0">
                <a:solidFill>
                  <a:schemeClr val="tx2"/>
                </a:solidFill>
                <a:latin typeface="+mj-lt"/>
                <a:ea typeface="+mn-ea"/>
                <a:cs typeface="+mn-cs"/>
              </a:defRPr>
            </a:pPr>
            <a:endParaRPr lang="uk-UA"/>
          </a:p>
        </c:txPr>
        <c:crossAx val="495039592"/>
        <c:crosses val="autoZero"/>
        <c:auto val="1"/>
        <c:lblAlgn val="ctr"/>
        <c:lblOffset val="100"/>
        <c:noMultiLvlLbl val="0"/>
      </c:catAx>
      <c:valAx>
        <c:axId val="495039592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495038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300" i="1">
                <a:solidFill>
                  <a:schemeClr val="tx2"/>
                </a:solidFill>
                <a:latin typeface="+mj-lt"/>
              </a:rPr>
              <a:t>Відомості про прокурорів, стосовно яких </a:t>
            </a:r>
            <a:br>
              <a:rPr lang="uk-UA" sz="1300" i="1">
                <a:solidFill>
                  <a:schemeClr val="tx2"/>
                </a:solidFill>
                <a:latin typeface="+mj-lt"/>
              </a:rPr>
            </a:br>
            <a:r>
              <a:rPr lang="uk-UA" sz="1300" i="1">
                <a:solidFill>
                  <a:schemeClr val="tx2"/>
                </a:solidFill>
                <a:latin typeface="+mj-lt"/>
              </a:rPr>
              <a:t>подано дисциплінарні скарги </a:t>
            </a:r>
          </a:p>
          <a:p>
            <a:pPr>
              <a:defRPr/>
            </a:pPr>
            <a:r>
              <a:rPr lang="uk-UA" sz="1100" i="1">
                <a:solidFill>
                  <a:schemeClr val="tx2"/>
                </a:solidFill>
                <a:latin typeface="+mj-lt"/>
              </a:rPr>
              <a:t>(за 2020 - 2021 роки, І півріччя 2022 року)</a:t>
            </a:r>
          </a:p>
        </c:rich>
      </c:tx>
      <c:layout>
        <c:manualLayout>
          <c:xMode val="edge"/>
          <c:yMode val="edge"/>
          <c:x val="0.16972391732283465"/>
          <c:y val="4.90797546012269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9166666666666663E-2"/>
          <c:y val="0.54186142376374735"/>
          <c:w val="0.80625000000000002"/>
          <c:h val="0.43276492278955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plosion val="45"/>
            <c:spPr>
              <a:gradFill rotWithShape="1">
                <a:gsLst>
                  <a:gs pos="0">
                    <a:schemeClr val="accent1">
                      <a:tint val="100000"/>
                      <a:shade val="75000"/>
                      <a:satMod val="160000"/>
                    </a:schemeClr>
                  </a:gs>
                  <a:gs pos="62000">
                    <a:schemeClr val="accent1">
                      <a:tint val="100000"/>
                      <a:shade val="100000"/>
                      <a:satMod val="125000"/>
                    </a:schemeClr>
                  </a:gs>
                  <a:gs pos="100000">
                    <a:schemeClr val="accent1">
                      <a:tint val="80000"/>
                      <a:shade val="100000"/>
                      <a:satMod val="140000"/>
                    </a:schemeClr>
                  </a:gs>
                </a:gsLst>
                <a:lin ang="16200000" scaled="1"/>
              </a:gradFill>
              <a:ln>
                <a:noFill/>
              </a:ln>
              <a:effectLst/>
              <a:scene3d>
                <a:camera prst="orthographicFront" fov="0">
                  <a:rot lat="0" lon="0" rev="0"/>
                </a:camera>
                <a:lightRig rig="threePt" dir="t">
                  <a:rot lat="0" lon="0" rev="0"/>
                </a:lightRig>
              </a:scene3d>
              <a:sp3d>
                <a:bevelT w="139700" h="38100"/>
                <a:contourClr>
                  <a:scrgbClr r="0" g="0" b="0">
                    <a:tint val="100000"/>
                    <a:shade val="100000"/>
                    <a:satMod val="100000"/>
                  </a:scrgb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A27-4BBF-8F41-820ECC3D5E1D}"/>
              </c:ext>
            </c:extLst>
          </c:dPt>
          <c:dPt>
            <c:idx val="1"/>
            <c:bubble3D val="0"/>
            <c:explosion val="34"/>
            <c:spPr>
              <a:gradFill rotWithShape="1">
                <a:gsLst>
                  <a:gs pos="0">
                    <a:schemeClr val="accent2">
                      <a:tint val="100000"/>
                      <a:shade val="75000"/>
                      <a:satMod val="160000"/>
                    </a:schemeClr>
                  </a:gs>
                  <a:gs pos="62000">
                    <a:schemeClr val="accent2">
                      <a:tint val="100000"/>
                      <a:shade val="100000"/>
                      <a:satMod val="125000"/>
                    </a:schemeClr>
                  </a:gs>
                  <a:gs pos="100000">
                    <a:schemeClr val="accent2">
                      <a:tint val="80000"/>
                      <a:shade val="100000"/>
                      <a:satMod val="140000"/>
                    </a:schemeClr>
                  </a:gs>
                </a:gsLst>
                <a:lin ang="16200000" scaled="1"/>
              </a:gradFill>
              <a:ln>
                <a:noFill/>
              </a:ln>
              <a:effectLst/>
              <a:scene3d>
                <a:camera prst="orthographicFront" fov="0">
                  <a:rot lat="0" lon="0" rev="0"/>
                </a:camera>
                <a:lightRig rig="threePt" dir="t">
                  <a:rot lat="0" lon="0" rev="0"/>
                </a:lightRig>
              </a:scene3d>
              <a:sp3d>
                <a:bevelT w="139700" h="38100"/>
                <a:contourClr>
                  <a:scrgbClr r="0" g="0" b="0">
                    <a:tint val="100000"/>
                    <a:shade val="100000"/>
                    <a:satMod val="100000"/>
                  </a:scrgb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A27-4BBF-8F41-820ECC3D5E1D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100000"/>
                      <a:shade val="75000"/>
                      <a:satMod val="160000"/>
                    </a:schemeClr>
                  </a:gs>
                  <a:gs pos="62000">
                    <a:schemeClr val="accent3">
                      <a:tint val="100000"/>
                      <a:shade val="100000"/>
                      <a:satMod val="125000"/>
                    </a:schemeClr>
                  </a:gs>
                  <a:gs pos="100000">
                    <a:schemeClr val="accent3">
                      <a:tint val="80000"/>
                      <a:shade val="100000"/>
                      <a:satMod val="140000"/>
                    </a:schemeClr>
                  </a:gs>
                </a:gsLst>
                <a:lin ang="16200000" scaled="1"/>
              </a:gradFill>
              <a:ln>
                <a:noFill/>
              </a:ln>
              <a:effectLst/>
              <a:scene3d>
                <a:camera prst="orthographicFront" fov="0">
                  <a:rot lat="0" lon="0" rev="0"/>
                </a:camera>
                <a:lightRig rig="threePt" dir="t">
                  <a:rot lat="0" lon="0" rev="0"/>
                </a:lightRig>
              </a:scene3d>
              <a:sp3d>
                <a:bevelT w="139700" h="38100"/>
                <a:contourClr>
                  <a:scrgbClr r="0" g="0" b="0">
                    <a:tint val="100000"/>
                    <a:shade val="100000"/>
                    <a:satMod val="100000"/>
                  </a:scrgb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A27-4BBF-8F41-820ECC3D5E1D}"/>
              </c:ext>
            </c:extLst>
          </c:dPt>
          <c:dLbls>
            <c:dLbl>
              <c:idx val="0"/>
              <c:layout>
                <c:manualLayout>
                  <c:x val="-0.13651082677165363"/>
                  <c:y val="-3.6171843550231071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2"/>
                        </a:solidFill>
                        <a:latin typeface="+mj-lt"/>
                        <a:ea typeface="+mn-ea"/>
                        <a:cs typeface="+mn-cs"/>
                      </a:defRPr>
                    </a:pPr>
                    <a:fld id="{FBB9ACA2-9C39-48B9-A7AD-4C5E5FB80ECE}" type="CATEGORYNAME">
                      <a:rPr lang="uk-UA"/>
                      <a:pPr>
                        <a:defRPr sz="1000">
                          <a:solidFill>
                            <a:schemeClr val="tx2"/>
                          </a:solidFill>
                          <a:latin typeface="+mj-lt"/>
                        </a:defRPr>
                      </a:pPr>
                      <a:t>[ИМЯ КАТЕГОРИИ]</a:t>
                    </a:fld>
                    <a:r>
                      <a:rPr lang="uk-UA" baseline="0"/>
                      <a:t>
</a:t>
                    </a:r>
                    <a:fld id="{C13C6C65-A74B-4E3D-9662-93A55627A4B4}" type="PERCENTAGE">
                      <a:rPr lang="uk-UA" b="1" baseline="0"/>
                      <a:pPr>
                        <a:defRPr sz="1000">
                          <a:solidFill>
                            <a:schemeClr val="tx2"/>
                          </a:solidFill>
                          <a:latin typeface="+mj-lt"/>
                        </a:defRPr>
                      </a:pPr>
                      <a:t>[ПРОЦЕНТ]</a:t>
                    </a:fld>
                    <a:endParaRPr lang="uk-UA" baseline="0"/>
                  </a:p>
                </c:rich>
              </c:tx>
              <c:spPr>
                <a:solidFill>
                  <a:srgbClr val="FFFFFF"/>
                </a:solidFill>
                <a:ln>
                  <a:solidFill>
                    <a:srgbClr val="082A7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2"/>
                      </a:solidFill>
                      <a:latin typeface="+mj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34028100393700789"/>
                      <c:h val="0.1787449881648229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A27-4BBF-8F41-820ECC3D5E1D}"/>
                </c:ext>
              </c:extLst>
            </c:dLbl>
            <c:dLbl>
              <c:idx val="1"/>
              <c:layout>
                <c:manualLayout>
                  <c:x val="4.1666666666666664E-2"/>
                  <c:y val="-8.1759818366262504E-2"/>
                </c:manualLayout>
              </c:layout>
              <c:tx>
                <c:rich>
                  <a:bodyPr/>
                  <a:lstStyle/>
                  <a:p>
                    <a:fld id="{15007A9B-0A30-4073-96BF-CFC9052BD196}" type="CATEGORYNAME">
                      <a:rPr lang="uk-UA"/>
                      <a:pPr/>
                      <a:t>[ИМЯ КАТЕГОРИИ]</a:t>
                    </a:fld>
                    <a:r>
                      <a:rPr lang="uk-UA" baseline="0"/>
                      <a:t>
</a:t>
                    </a:r>
                    <a:fld id="{F229A610-5570-4CBC-A886-0877EAF0920E}" type="PERCENTAGE">
                      <a:rPr lang="uk-UA" b="1" baseline="0"/>
                      <a:pPr/>
                      <a:t>[ПРОЦЕНТ]</a:t>
                    </a:fld>
                    <a:endParaRPr lang="uk-UA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827591863517059"/>
                      <c:h val="0.29735439511778816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A27-4BBF-8F41-820ECC3D5E1D}"/>
                </c:ext>
              </c:extLst>
            </c:dLbl>
            <c:dLbl>
              <c:idx val="2"/>
              <c:layout>
                <c:manualLayout>
                  <c:x val="-1.2500000000000004E-2"/>
                  <c:y val="9.3159750736678641E-3"/>
                </c:manualLayout>
              </c:layout>
              <c:tx>
                <c:rich>
                  <a:bodyPr/>
                  <a:lstStyle/>
                  <a:p>
                    <a:fld id="{599FF46E-6261-4BAF-8916-C18431A5143E}" type="CATEGORYNAME">
                      <a:rPr lang="uk-UA"/>
                      <a:pPr/>
                      <a:t>[ИМЯ КАТЕГОРИИ]</a:t>
                    </a:fld>
                    <a:r>
                      <a:rPr lang="uk-UA" baseline="0"/>
                      <a:t>
</a:t>
                    </a:r>
                    <a:fld id="{43F9B35D-649B-4E10-96D6-A04D6CE63E13}" type="PERCENTAGE">
                      <a:rPr lang="uk-UA" b="1" baseline="0"/>
                      <a:pPr/>
                      <a:t>[ПРОЦЕНТ]</a:t>
                    </a:fld>
                    <a:endParaRPr lang="uk-UA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166961942257219"/>
                      <c:h val="0.29735439511778816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EA27-4BBF-8F41-820ECC3D5E1D}"/>
                </c:ext>
              </c:extLst>
            </c:dLbl>
            <c:spPr>
              <a:solidFill>
                <a:srgbClr val="FFFFFF"/>
              </a:solidFill>
              <a:ln>
                <a:solidFill>
                  <a:srgbClr val="082A75"/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2"/>
                    </a:solidFill>
                    <a:latin typeface="+mj-lt"/>
                    <a:ea typeface="+mn-ea"/>
                    <a:cs typeface="+mn-cs"/>
                  </a:defRPr>
                </a:pPr>
                <a:endParaRPr lang="uk-UA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Лист1!$A$2:$A$4</c:f>
              <c:strCache>
                <c:ptCount val="3"/>
                <c:pt idx="0">
                  <c:v>Офіс Генпрокурора (Генеральна прокуратура України)</c:v>
                </c:pt>
                <c:pt idx="1">
                  <c:v>обласні прокуратури (регіональні, спеціалізовані на правах обласних)</c:v>
                </c:pt>
                <c:pt idx="2">
                  <c:v>окружні прокуратури (місцеві, спеціалізовані на правах місцевих)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0.13</c:v>
                </c:pt>
                <c:pt idx="1">
                  <c:v>0.38</c:v>
                </c:pt>
                <c:pt idx="2">
                  <c:v>0.49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A27-4BBF-8F41-820ECC3D5E1D}"/>
            </c:ext>
          </c:extLst>
        </c:ser>
        <c:dLbls>
          <c:dLblPos val="bestFit"/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00" b="0" i="0" u="none" strike="noStrike" kern="1200" spc="0" baseline="0">
                <a:solidFill>
                  <a:schemeClr val="tx2"/>
                </a:solidFill>
                <a:latin typeface="+mj-lt"/>
                <a:ea typeface="+mn-ea"/>
                <a:cs typeface="+mn-cs"/>
              </a:defRPr>
            </a:pPr>
            <a:r>
              <a:rPr lang="ru-RU" sz="1300" b="1" i="1">
                <a:solidFill>
                  <a:schemeClr val="tx2"/>
                </a:solidFill>
                <a:latin typeface="+mj-lt"/>
              </a:rPr>
              <a:t>Притягнення</a:t>
            </a:r>
            <a:r>
              <a:rPr lang="ru-RU" sz="1300" b="1" i="1" baseline="0">
                <a:solidFill>
                  <a:schemeClr val="tx2"/>
                </a:solidFill>
                <a:latin typeface="+mj-lt"/>
              </a:rPr>
              <a:t> прокурорів до дисциплінарної відповідальності за п. 6 ч. 1 ст. 43 Закону України "Про прокуратуру"</a:t>
            </a:r>
            <a:endParaRPr lang="ru-RU" sz="1000" b="1" i="1">
              <a:solidFill>
                <a:schemeClr val="tx2"/>
              </a:solidFill>
              <a:latin typeface="+mj-lt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0" i="0" u="none" strike="noStrike" kern="1200" spc="0" baseline="0">
              <a:solidFill>
                <a:schemeClr val="tx2"/>
              </a:solidFill>
              <a:latin typeface="+mj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63673102279537885"/>
          <c:y val="0.22429415648197354"/>
          <c:w val="0.37493789654245974"/>
          <c:h val="0.60534497544242616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Кількість прокурорів, притягнутих до дисциплінарної відповідальності</c:v>
                </c:pt>
              </c:strCache>
            </c:strRef>
          </c:tx>
          <c:dPt>
            <c:idx val="0"/>
            <c:bubble3D val="0"/>
            <c:spPr>
              <a:solidFill>
                <a:schemeClr val="accent3">
                  <a:shade val="65000"/>
                  <a:tint val="100000"/>
                  <a:shade val="100000"/>
                  <a:satMod val="10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57EA-4A54-B6C6-4B24ABC096CC}"/>
              </c:ext>
            </c:extLst>
          </c:dPt>
          <c:dPt>
            <c:idx val="1"/>
            <c:bubble3D val="0"/>
            <c:spPr>
              <a:solidFill>
                <a:schemeClr val="accent3">
                  <a:tint val="100000"/>
                  <a:shade val="100000"/>
                  <a:satMod val="10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57EA-4A54-B6C6-4B24ABC096CC}"/>
              </c:ext>
            </c:extLst>
          </c:dPt>
          <c:dPt>
            <c:idx val="2"/>
            <c:bubble3D val="0"/>
            <c:spPr>
              <a:solidFill>
                <a:schemeClr val="accent3">
                  <a:tint val="65000"/>
                  <a:tint val="100000"/>
                  <a:shade val="100000"/>
                  <a:satMod val="10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57EA-4A54-B6C6-4B24ABC096CC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bg1"/>
                      </a:solidFill>
                      <a:latin typeface="+mj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57EA-4A54-B6C6-4B24ABC096CC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bg1"/>
                      </a:solidFill>
                      <a:latin typeface="+mj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57EA-4A54-B6C6-4B24ABC096CC}"/>
                </c:ext>
              </c:extLst>
            </c:dLbl>
            <c:dLbl>
              <c:idx val="2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100" b="1" i="0" u="none" strike="noStrike" kern="1200" baseline="0">
                        <a:solidFill>
                          <a:schemeClr val="bg1"/>
                        </a:solidFill>
                        <a:latin typeface="+mj-lt"/>
                        <a:ea typeface="+mn-ea"/>
                        <a:cs typeface="+mn-cs"/>
                      </a:defRPr>
                    </a:pPr>
                    <a:fld id="{22EE09CE-6DB9-4C36-9C4B-6421DD5246C3}" type="VALUE">
                      <a:rPr lang="en-US" sz="1100">
                        <a:solidFill>
                          <a:schemeClr val="bg1"/>
                        </a:solidFill>
                      </a:rPr>
                      <a:pPr>
                        <a:defRPr sz="1100" b="1">
                          <a:solidFill>
                            <a:schemeClr val="bg1"/>
                          </a:solidFill>
                          <a:latin typeface="+mj-lt"/>
                        </a:defRPr>
                      </a:pPr>
                      <a:t>[ЗНАЧЕНИЕ]</a:t>
                    </a:fld>
                    <a:endParaRPr lang="uk-UA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bg1"/>
                      </a:solidFill>
                      <a:latin typeface="+mj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57EA-4A54-B6C6-4B24ABC096C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+mj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звільнення з посади в органах прокуратури</c:v>
                </c:pt>
                <c:pt idx="1">
                  <c:v>заборона на строк до 1 року на переведення до органу прокуратури вищого рівня чи на призначення на вищу посаду в органі прокуратури, в якому прокурор обіймає посаду</c:v>
                </c:pt>
                <c:pt idx="2">
                  <c:v>догана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0.57999999999999996</c:v>
                </c:pt>
                <c:pt idx="1">
                  <c:v>0.13</c:v>
                </c:pt>
                <c:pt idx="2">
                  <c:v>0.28999999999999998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7EA-4A54-B6C6-4B24ABC096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9293942587885173E-2"/>
          <c:y val="0.35401800235093311"/>
          <c:w val="0.47826250852501706"/>
          <c:h val="0.4333030610437498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2"/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300" b="1" i="1">
                <a:solidFill>
                  <a:schemeClr val="tx2"/>
                </a:solidFill>
                <a:latin typeface="+mj-lt"/>
              </a:rPr>
              <a:t>Відомості</a:t>
            </a:r>
            <a:r>
              <a:rPr lang="ru-RU" sz="1300" b="1" i="1" baseline="0">
                <a:solidFill>
                  <a:schemeClr val="tx2"/>
                </a:solidFill>
                <a:latin typeface="+mj-lt"/>
              </a:rPr>
              <a:t> про кількість прокурорів, притягнутих до дисциплінарної відповідальності за п. 6 ч. 1 ст. 43 Закону України "Про прокуратуру"</a:t>
            </a:r>
            <a:br>
              <a:rPr lang="ru-RU" sz="1300" b="1" i="1" baseline="0">
                <a:solidFill>
                  <a:schemeClr val="tx2"/>
                </a:solidFill>
                <a:latin typeface="+mj-lt"/>
              </a:rPr>
            </a:br>
            <a:r>
              <a:rPr lang="ru-RU" sz="1100" b="1" i="1" baseline="0">
                <a:solidFill>
                  <a:schemeClr val="tx2"/>
                </a:solidFill>
                <a:latin typeface="+mj-lt"/>
              </a:rPr>
              <a:t>(за 2020 - 2021 роки та І півріччя 2022 року)</a:t>
            </a:r>
            <a:endParaRPr lang="ru-RU" sz="1100" b="1" i="1">
              <a:solidFill>
                <a:schemeClr val="tx2"/>
              </a:solidFill>
              <a:latin typeface="+mj-lt"/>
            </a:endParaRPr>
          </a:p>
        </c:rich>
      </c:tx>
      <c:layout>
        <c:manualLayout>
          <c:xMode val="edge"/>
          <c:yMode val="edge"/>
          <c:x val="8.2471714112658995E-2"/>
          <c:y val="3.174436100371771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4951116495053503"/>
          <c:y val="0.35147231274753893"/>
          <c:w val="0.32991528366646472"/>
          <c:h val="0.5512723248925502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plosion val="12"/>
            <c:spPr>
              <a:solidFill>
                <a:schemeClr val="accent2">
                  <a:tint val="65000"/>
                  <a:tint val="100000"/>
                  <a:shade val="100000"/>
                  <a:satMod val="10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EB0-49DF-9D46-3638512D4460}"/>
              </c:ext>
            </c:extLst>
          </c:dPt>
          <c:dPt>
            <c:idx val="1"/>
            <c:bubble3D val="0"/>
            <c:explosion val="7"/>
            <c:spPr>
              <a:solidFill>
                <a:schemeClr val="accent2">
                  <a:tint val="100000"/>
                  <a:shade val="100000"/>
                  <a:satMod val="10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EB0-49DF-9D46-3638512D4460}"/>
              </c:ext>
            </c:extLst>
          </c:dPt>
          <c:dPt>
            <c:idx val="2"/>
            <c:bubble3D val="0"/>
            <c:explosion val="12"/>
            <c:spPr>
              <a:solidFill>
                <a:schemeClr val="accent2">
                  <a:shade val="65000"/>
                  <a:tint val="100000"/>
                  <a:shade val="100000"/>
                  <a:satMod val="10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EB0-49DF-9D46-3638512D4460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bg1"/>
                      </a:solidFill>
                      <a:latin typeface="+mj-lt"/>
                      <a:ea typeface="+mn-ea"/>
                      <a:cs typeface="Arial" panose="020B0604020202020204" pitchFamily="34" charset="0"/>
                    </a:defRPr>
                  </a:pPr>
                  <a:endParaRPr lang="uk-UA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0EB0-49DF-9D46-3638512D4460}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100" b="1" i="0" u="none" strike="noStrike" kern="1200" baseline="0">
                        <a:solidFill>
                          <a:schemeClr val="bg1"/>
                        </a:solidFill>
                        <a:latin typeface="+mj-lt"/>
                        <a:ea typeface="+mn-ea"/>
                        <a:cs typeface="+mn-cs"/>
                      </a:defRPr>
                    </a:pPr>
                    <a:fld id="{C35C2DD8-F41E-42C0-BC22-F48784727521}" type="VALUE">
                      <a:rPr lang="en-US" sz="1100" b="1">
                        <a:latin typeface="+mj-lt"/>
                      </a:rPr>
                      <a:pPr>
                        <a:defRPr sz="1100" b="1">
                          <a:solidFill>
                            <a:schemeClr val="bg1"/>
                          </a:solidFill>
                          <a:latin typeface="+mj-lt"/>
                        </a:defRPr>
                      </a:pPr>
                      <a:t>[ЗНАЧЕНИЕ]</a:t>
                    </a:fld>
                    <a:endParaRPr lang="uk-UA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bg1"/>
                      </a:solidFill>
                      <a:latin typeface="+mj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0EB0-49DF-9D46-3638512D446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EA657CA6-3680-45A0-B05F-9CAC67F54A2C}" type="VALUE">
                      <a:rPr lang="en-US" b="1">
                        <a:solidFill>
                          <a:schemeClr val="bg1"/>
                        </a:solidFill>
                        <a:latin typeface="+mj-lt"/>
                      </a:rPr>
                      <a:pPr/>
                      <a:t>[ЗНАЧЕНИЕ]</a:t>
                    </a:fld>
                    <a:endParaRPr lang="uk-UA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0EB0-49DF-9D46-3638512D446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j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Офіс Генерального прокурора (Генеральна прокуратура України)</c:v>
                </c:pt>
                <c:pt idx="1">
                  <c:v>обласні прокуратури (регіональні, спеціалізовані на правах обласних)</c:v>
                </c:pt>
                <c:pt idx="2">
                  <c:v>окружні прокуратури (місцеві, спеціалізовані на правах місцевих)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0.11</c:v>
                </c:pt>
                <c:pt idx="1">
                  <c:v>0.19</c:v>
                </c:pt>
                <c:pt idx="2">
                  <c:v>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EB0-49DF-9D46-3638512D4460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solidFill>
          <a:schemeClr val="bg1"/>
        </a:solidFill>
        <a:ln w="25400">
          <a:solidFill>
            <a:schemeClr val="bg1"/>
          </a:solidFill>
        </a:ln>
        <a:effectLst/>
      </c:spPr>
    </c:plotArea>
    <c:legend>
      <c:legendPos val="l"/>
      <c:layout>
        <c:manualLayout>
          <c:xMode val="edge"/>
          <c:yMode val="edge"/>
          <c:x val="1.2307692307692308E-2"/>
          <c:y val="0.48081020720738954"/>
          <c:w val="0.43440016151827177"/>
          <c:h val="0.39313509975777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j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kumimoji="0" lang="ru-RU" sz="1300" b="1" i="1" u="none" strike="noStrike" kern="1200" cap="none" spc="0" normalizeH="0" baseline="0" noProof="0">
                <a:ln>
                  <a:noFill/>
                </a:ln>
                <a:solidFill>
                  <a:srgbClr val="082A75"/>
                </a:solidFill>
                <a:effectLst/>
                <a:uLnTx/>
                <a:uFillTx/>
                <a:latin typeface="Arial" panose="020B0604020202020204" pitchFamily="34" charset="0"/>
                <a:cs typeface="Arial" panose="020B0604020202020204" pitchFamily="34" charset="0"/>
              </a:rPr>
              <a:t>Результати вирішення питання про </a:t>
            </a:r>
            <a:br>
              <a:rPr kumimoji="0" lang="ru-RU" sz="1300" b="1" i="1" u="none" strike="noStrike" kern="1200" cap="none" spc="0" normalizeH="0" baseline="0" noProof="0">
                <a:ln>
                  <a:noFill/>
                </a:ln>
                <a:solidFill>
                  <a:srgbClr val="082A75"/>
                </a:solidFill>
                <a:effectLst/>
                <a:uLnTx/>
                <a:uFillTx/>
                <a:latin typeface="Arial" panose="020B0604020202020204" pitchFamily="34" charset="0"/>
                <a:cs typeface="Arial" panose="020B0604020202020204" pitchFamily="34" charset="0"/>
              </a:rPr>
            </a:br>
            <a:r>
              <a:rPr kumimoji="0" lang="ru-RU" sz="1300" b="1" i="1" u="none" strike="noStrike" kern="1200" cap="none" spc="0" normalizeH="0" baseline="0" noProof="0">
                <a:ln>
                  <a:noFill/>
                </a:ln>
                <a:solidFill>
                  <a:srgbClr val="082A75"/>
                </a:solidFill>
                <a:effectLst/>
                <a:uLnTx/>
                <a:uFillTx/>
                <a:latin typeface="Arial" panose="020B0604020202020204" pitchFamily="34" charset="0"/>
                <a:cs typeface="Arial" panose="020B0604020202020204" pitchFamily="34" charset="0"/>
              </a:rPr>
              <a:t>відкриття дисциплінарного провадження за </a:t>
            </a:r>
            <a:br>
              <a:rPr kumimoji="0" lang="ru-RU" sz="1300" b="1" i="1" u="none" strike="noStrike" kern="1200" cap="none" spc="0" normalizeH="0" baseline="0" noProof="0">
                <a:ln>
                  <a:noFill/>
                </a:ln>
                <a:solidFill>
                  <a:srgbClr val="082A75"/>
                </a:solidFill>
                <a:effectLst/>
                <a:uLnTx/>
                <a:uFillTx/>
                <a:latin typeface="Arial" panose="020B0604020202020204" pitchFamily="34" charset="0"/>
                <a:cs typeface="Arial" panose="020B0604020202020204" pitchFamily="34" charset="0"/>
              </a:rPr>
            </a:br>
            <a:r>
              <a:rPr kumimoji="0" lang="ru-RU" sz="1300" b="1" i="1" u="none" strike="noStrike" kern="1200" cap="none" spc="0" normalizeH="0" baseline="0" noProof="0">
                <a:ln>
                  <a:noFill/>
                </a:ln>
                <a:solidFill>
                  <a:srgbClr val="082A75"/>
                </a:solidFill>
                <a:effectLst/>
                <a:uLnTx/>
                <a:uFillTx/>
                <a:latin typeface="Arial" panose="020B0604020202020204" pitchFamily="34" charset="0"/>
                <a:cs typeface="Arial" panose="020B0604020202020204" pitchFamily="34" charset="0"/>
              </a:rPr>
              <a:t>скаргами про порушення правил прокрорської</a:t>
            </a:r>
            <a:br>
              <a:rPr kumimoji="0" lang="ru-RU" sz="1300" b="1" i="1" u="none" strike="noStrike" kern="1200" cap="none" spc="0" normalizeH="0" baseline="0" noProof="0">
                <a:ln>
                  <a:noFill/>
                </a:ln>
                <a:solidFill>
                  <a:srgbClr val="082A75"/>
                </a:solidFill>
                <a:effectLst/>
                <a:uLnTx/>
                <a:uFillTx/>
                <a:latin typeface="Arial" panose="020B0604020202020204" pitchFamily="34" charset="0"/>
                <a:cs typeface="Arial" panose="020B0604020202020204" pitchFamily="34" charset="0"/>
              </a:rPr>
            </a:br>
            <a:r>
              <a:rPr kumimoji="0" lang="ru-RU" sz="1300" b="1" i="1" u="none" strike="noStrike" kern="1200" cap="none" spc="0" normalizeH="0" baseline="0" noProof="0">
                <a:ln>
                  <a:noFill/>
                </a:ln>
                <a:solidFill>
                  <a:srgbClr val="082A75"/>
                </a:solidFill>
                <a:effectLst/>
                <a:uLnTx/>
                <a:uFillTx/>
                <a:latin typeface="Arial" panose="020B0604020202020204" pitchFamily="34" charset="0"/>
                <a:cs typeface="Arial" panose="020B0604020202020204" pitchFamily="34" charset="0"/>
              </a:rPr>
              <a:t>етики </a:t>
            </a:r>
            <a:r>
              <a:rPr kumimoji="0" lang="ru-RU" sz="1100" b="1" i="1" u="none" strike="noStrike" kern="1200" cap="none" spc="0" normalizeH="0" baseline="0" noProof="0">
                <a:ln>
                  <a:noFill/>
                </a:ln>
                <a:solidFill>
                  <a:srgbClr val="082A75"/>
                </a:solidFill>
                <a:effectLst/>
                <a:uLnTx/>
                <a:uFillTx/>
                <a:latin typeface="Arial" panose="020B0604020202020204" pitchFamily="34" charset="0"/>
                <a:cs typeface="Arial" panose="020B0604020202020204" pitchFamily="34" charset="0"/>
              </a:rPr>
              <a:t>(за 2020 - 2021 роки та І півріччя 2022 року)</a:t>
            </a:r>
            <a:endParaRPr lang="ru-RU" sz="1100" b="1" i="1">
              <a:solidFill>
                <a:schemeClr val="tx2"/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2.0800338346332305E-2"/>
          <c:y val="1.98412698412698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67630074676684371"/>
          <c:y val="0.29608173978252716"/>
          <c:w val="0.24293001289530752"/>
          <c:h val="0.78137549879435797"/>
        </c:manualLayout>
      </c:layout>
      <c:doughnutChart>
        <c:varyColors val="1"/>
        <c:ser>
          <c:idx val="0"/>
          <c:order val="0"/>
          <c:tx>
            <c:strRef>
              <c:f>Лист1!$B$2:$B$3</c:f>
              <c:strCache>
                <c:ptCount val="2"/>
                <c:pt idx="0">
                  <c:v>27%</c:v>
                </c:pt>
                <c:pt idx="1">
                  <c:v>73%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tint val="100000"/>
                  <a:shade val="100000"/>
                  <a:satMod val="10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32D-4AE3-AB13-6C02D3074795}"/>
              </c:ext>
            </c:extLst>
          </c:dPt>
          <c:dPt>
            <c:idx val="1"/>
            <c:bubble3D val="0"/>
            <c:spPr>
              <a:solidFill>
                <a:schemeClr val="accent2">
                  <a:tint val="100000"/>
                  <a:shade val="100000"/>
                  <a:satMod val="10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32D-4AE3-AB13-6C02D307479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bg1"/>
                    </a:solidFill>
                    <a:latin typeface="+mj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Відкрито дисциплінарних проваджень</c:v>
                </c:pt>
                <c:pt idx="1">
                  <c:v>Відмовлено у відкритті дисциплінарних проваджень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0.27</c:v>
                </c:pt>
                <c:pt idx="1">
                  <c:v>0.73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32D-4AE3-AB13-6C02D307479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0729310494955902E-2"/>
          <c:y val="0.667140607424072"/>
          <c:w val="0.57721436479207866"/>
          <c:h val="0.2596289463817023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2"/>
              </a:solidFill>
              <a:latin typeface="+mj-lt"/>
              <a:ea typeface="+mn-ea"/>
              <a:cs typeface="Arial" panose="020B0604020202020204" pitchFamily="34" charset="0"/>
            </a:defRPr>
          </a:pPr>
          <a:endParaRPr lang="uk-UA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300" b="1" i="1">
                <a:solidFill>
                  <a:schemeClr val="tx2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Результати</a:t>
            </a:r>
            <a:r>
              <a:rPr lang="uk-UA" sz="1300" b="1" i="1" baseline="0">
                <a:solidFill>
                  <a:schemeClr val="tx2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 вирішення питання про відкриття дисциплінарного провадження за скаргами про порушення правил прокурорської етики</a:t>
            </a:r>
            <a:br>
              <a:rPr lang="uk-UA" sz="1300" b="1" i="1" baseline="0">
                <a:solidFill>
                  <a:schemeClr val="tx2"/>
                </a:solidFill>
                <a:latin typeface="Arial" panose="020B0604020202020204" pitchFamily="34" charset="0"/>
                <a:cs typeface="Arial" panose="020B0604020202020204" pitchFamily="34" charset="0"/>
              </a:rPr>
            </a:br>
            <a:r>
              <a:rPr lang="uk-UA" sz="1100" b="1" i="1" baseline="0">
                <a:solidFill>
                  <a:schemeClr val="tx2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(окремо за кожен рік)</a:t>
            </a:r>
            <a:endParaRPr lang="ru-RU" sz="1100" b="1" i="1">
              <a:solidFill>
                <a:schemeClr val="tx2"/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1.6666666666666666E-2"/>
          <c:y val="0.21017375466589103"/>
          <c:w val="0.95416666666666672"/>
          <c:h val="0.5708530878084684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Відмовлено у відкритті дисциплінарних проваджень</c:v>
                </c:pt>
              </c:strCache>
            </c:strRef>
          </c:tx>
          <c:spPr>
            <a:solidFill>
              <a:schemeClr val="accent1">
                <a:tint val="100000"/>
                <a:shade val="100000"/>
                <a:satMod val="10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+mj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2020 рік</c:v>
                </c:pt>
                <c:pt idx="1">
                  <c:v>2021 рік</c:v>
                </c:pt>
                <c:pt idx="2">
                  <c:v>І півріччя 2022 року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0.68</c:v>
                </c:pt>
                <c:pt idx="1">
                  <c:v>0.81</c:v>
                </c:pt>
                <c:pt idx="2">
                  <c:v>0.65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C6-4ADA-B487-CFD60DBFFDD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Відкрито дисциплінарних проваджень</c:v>
                </c:pt>
              </c:strCache>
            </c:strRef>
          </c:tx>
          <c:spPr>
            <a:solidFill>
              <a:schemeClr val="accent2">
                <a:tint val="100000"/>
                <a:shade val="100000"/>
                <a:satMod val="10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+mj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2020 рік</c:v>
                </c:pt>
                <c:pt idx="1">
                  <c:v>2021 рік</c:v>
                </c:pt>
                <c:pt idx="2">
                  <c:v>І півріччя 2022 року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0.32</c:v>
                </c:pt>
                <c:pt idx="1">
                  <c:v>0.19</c:v>
                </c:pt>
                <c:pt idx="2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AC6-4ADA-B487-CFD60DBFFDD5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531066464"/>
        <c:axId val="531065808"/>
      </c:barChart>
      <c:catAx>
        <c:axId val="531066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solidFill>
            <a:schemeClr val="bg1"/>
          </a:solidFill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2"/>
                </a:solidFill>
                <a:latin typeface="+mj-lt"/>
                <a:ea typeface="+mn-ea"/>
                <a:cs typeface="+mn-cs"/>
              </a:defRPr>
            </a:pPr>
            <a:endParaRPr lang="uk-UA"/>
          </a:p>
        </c:txPr>
        <c:crossAx val="531065808"/>
        <c:crosses val="autoZero"/>
        <c:auto val="1"/>
        <c:lblAlgn val="ctr"/>
        <c:lblOffset val="100"/>
        <c:noMultiLvlLbl val="0"/>
      </c:catAx>
      <c:valAx>
        <c:axId val="531065808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531066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2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00" b="0" i="0" u="none" strike="noStrike" kern="1200" spc="0" baseline="0">
                <a:solidFill>
                  <a:schemeClr val="tx2"/>
                </a:solidFill>
                <a:latin typeface="+mj-lt"/>
                <a:ea typeface="+mn-ea"/>
                <a:cs typeface="+mn-cs"/>
              </a:defRPr>
            </a:pPr>
            <a:r>
              <a:rPr lang="ru-RU" sz="1300" b="1" i="1">
                <a:solidFill>
                  <a:schemeClr val="tx2"/>
                </a:solidFill>
                <a:latin typeface="+mj-lt"/>
              </a:rPr>
              <a:t>Відомості про закриття дисциплінарних проваджень</a:t>
            </a:r>
            <a:r>
              <a:rPr lang="ru-RU" sz="1300" b="1" i="1" baseline="0">
                <a:solidFill>
                  <a:schemeClr val="tx2"/>
                </a:solidFill>
                <a:latin typeface="+mj-lt"/>
              </a:rPr>
              <a:t> за скаргами про порушення правил прокурської етики</a:t>
            </a:r>
            <a:br>
              <a:rPr lang="ru-RU" sz="1300" b="1" i="1" baseline="0">
                <a:solidFill>
                  <a:schemeClr val="tx2"/>
                </a:solidFill>
                <a:latin typeface="+mj-lt"/>
              </a:rPr>
            </a:br>
            <a:r>
              <a:rPr lang="ru-RU" sz="1100" b="1" i="1">
                <a:solidFill>
                  <a:schemeClr val="tx2"/>
                </a:solidFill>
                <a:latin typeface="+mj-lt"/>
              </a:rPr>
              <a:t>(окремо</a:t>
            </a:r>
            <a:r>
              <a:rPr lang="ru-RU" sz="1100" b="1" i="1" baseline="0">
                <a:solidFill>
                  <a:schemeClr val="tx2"/>
                </a:solidFill>
                <a:latin typeface="+mj-lt"/>
              </a:rPr>
              <a:t> за кожен рік</a:t>
            </a:r>
            <a:r>
              <a:rPr lang="ru-RU" sz="1100" b="1" i="1">
                <a:solidFill>
                  <a:schemeClr val="tx2"/>
                </a:solidFill>
                <a:latin typeface="+mj-lt"/>
              </a:rPr>
              <a:t>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0" i="0" u="none" strike="noStrike" kern="1200" spc="0" baseline="0">
              <a:solidFill>
                <a:schemeClr val="tx2"/>
              </a:solidFill>
              <a:latin typeface="+mj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16619075371484079"/>
          <c:y val="0.2649654096752283"/>
          <c:w val="0.77711633289933246"/>
          <c:h val="0.6233203071838242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прокурорів, стосовно яких прийнято рішення</c:v>
                </c:pt>
              </c:strCache>
            </c:strRef>
          </c:tx>
          <c:spPr>
            <a:solidFill>
              <a:schemeClr val="accent6">
                <a:tint val="100000"/>
                <a:shade val="100000"/>
                <a:satMod val="10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2"/>
              <c:tx>
                <c:rich>
                  <a:bodyPr/>
                  <a:lstStyle/>
                  <a:p>
                    <a:fld id="{22EE09CE-6DB9-4C36-9C4B-6421DD5246C3}" type="VALUE">
                      <a:rPr lang="en-US">
                        <a:solidFill>
                          <a:schemeClr val="tx2"/>
                        </a:solidFill>
                      </a:rPr>
                      <a:pPr/>
                      <a:t>[ЗНАЧЕНИЕ]</a:t>
                    </a:fld>
                    <a:endParaRPr lang="uk-UA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EF64-4F65-8903-8C1E7F600D7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2"/>
                    </a:solidFill>
                    <a:latin typeface="+mj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І півріччя 2022 року</c:v>
                </c:pt>
                <c:pt idx="1">
                  <c:v>2021 рік</c:v>
                </c:pt>
                <c:pt idx="2">
                  <c:v>2020 рік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</c:v>
                </c:pt>
                <c:pt idx="1">
                  <c:v>28</c:v>
                </c:pt>
                <c:pt idx="2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F64-4F65-8903-8C1E7F600D7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рішень про закриття дисциплінарних проваджень</c:v>
                </c:pt>
              </c:strCache>
            </c:strRef>
          </c:tx>
          <c:spPr>
            <a:solidFill>
              <a:schemeClr val="accent5">
                <a:tint val="100000"/>
                <a:shade val="100000"/>
                <a:satMod val="10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2"/>
                    </a:solidFill>
                    <a:latin typeface="+mj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І півріччя 2022 року</c:v>
                </c:pt>
                <c:pt idx="1">
                  <c:v>2021 рік</c:v>
                </c:pt>
                <c:pt idx="2">
                  <c:v>2020 рік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</c:v>
                </c:pt>
                <c:pt idx="1">
                  <c:v>18</c:v>
                </c:pt>
                <c:pt idx="2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F64-4F65-8903-8C1E7F600D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95038936"/>
        <c:axId val="495039592"/>
      </c:barChart>
      <c:catAx>
        <c:axId val="4950389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0" spcFirstLastPara="1" vertOverflow="ellipsis" wrap="square" anchor="ctr" anchorCtr="0"/>
          <a:lstStyle/>
          <a:p>
            <a:pPr>
              <a:defRPr sz="1100" b="1" i="0" u="none" strike="noStrike" kern="1200" baseline="0">
                <a:solidFill>
                  <a:schemeClr val="tx2"/>
                </a:solidFill>
                <a:latin typeface="+mj-lt"/>
                <a:ea typeface="+mn-ea"/>
                <a:cs typeface="+mn-cs"/>
              </a:defRPr>
            </a:pPr>
            <a:endParaRPr lang="uk-UA"/>
          </a:p>
        </c:txPr>
        <c:crossAx val="495039592"/>
        <c:crosses val="autoZero"/>
        <c:auto val="1"/>
        <c:lblAlgn val="ctr"/>
        <c:lblOffset val="100"/>
        <c:noMultiLvlLbl val="0"/>
      </c:catAx>
      <c:valAx>
        <c:axId val="49503959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495038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25703069006138013"/>
          <c:y val="0.71596387512263837"/>
          <c:w val="0.73457035980738628"/>
          <c:h val="0.1502999505253536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2"/>
              </a:solidFill>
              <a:latin typeface="+mj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5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6927</Words>
  <Characters>3949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Скобунов</cp:lastModifiedBy>
  <cp:revision>2</cp:revision>
  <cp:lastPrinted>2022-09-27T09:48:00Z</cp:lastPrinted>
  <dcterms:created xsi:type="dcterms:W3CDTF">2025-04-09T06:50:00Z</dcterms:created>
  <dcterms:modified xsi:type="dcterms:W3CDTF">2025-04-09T06:50:00Z</dcterms:modified>
</cp:coreProperties>
</file>