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Р І Ш Е Н Н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205EE7">
        <w:trPr>
          <w:trHeight w:val="73"/>
        </w:trPr>
        <w:tc>
          <w:tcPr>
            <w:tcW w:w="1765" w:type="pct"/>
            <w:hideMark/>
          </w:tcPr>
          <w:p w14:paraId="6CC95D01" w14:textId="7912D95D" w:rsidR="00570EE3" w:rsidRPr="00570EE3" w:rsidRDefault="001648AE"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 xml:space="preserve">19 </w:t>
            </w:r>
            <w:r w:rsidR="00205EE7">
              <w:rPr>
                <w:rFonts w:eastAsia="Times New Roman" w:cs="Times New Roman"/>
                <w:b/>
                <w:szCs w:val="24"/>
                <w:lang w:eastAsia="ru-RU"/>
              </w:rPr>
              <w:t xml:space="preserve">вересня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2FD31667"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697A39">
              <w:rPr>
                <w:rFonts w:eastAsia="Times New Roman" w:cs="Times New Roman"/>
                <w:b/>
                <w:szCs w:val="24"/>
                <w:lang w:eastAsia="ru-RU"/>
              </w:rPr>
              <w:t xml:space="preserve"> </w:t>
            </w:r>
            <w:r w:rsidR="00FE5023">
              <w:rPr>
                <w:rFonts w:eastAsia="Times New Roman" w:cs="Times New Roman"/>
                <w:b/>
                <w:szCs w:val="24"/>
                <w:lang w:eastAsia="ru-RU"/>
              </w:rPr>
              <w:t xml:space="preserve"> </w:t>
            </w:r>
            <w:r w:rsidRPr="00570EE3">
              <w:rPr>
                <w:rFonts w:eastAsia="Times New Roman" w:cs="Times New Roman"/>
                <w:b/>
                <w:szCs w:val="24"/>
                <w:lang w:eastAsia="ru-RU"/>
              </w:rPr>
              <w:t>№</w:t>
            </w:r>
            <w:r w:rsidR="00FE5023">
              <w:rPr>
                <w:rFonts w:eastAsia="Times New Roman" w:cs="Times New Roman"/>
                <w:b/>
                <w:szCs w:val="24"/>
                <w:lang w:eastAsia="ru-RU"/>
              </w:rPr>
              <w:t xml:space="preserve"> </w:t>
            </w:r>
            <w:r w:rsidR="00205EE7">
              <w:rPr>
                <w:rFonts w:eastAsia="Times New Roman" w:cs="Times New Roman"/>
                <w:b/>
                <w:szCs w:val="24"/>
                <w:lang w:eastAsia="ru-RU"/>
              </w:rPr>
              <w:t>9</w:t>
            </w:r>
            <w:r w:rsidR="001648AE">
              <w:rPr>
                <w:rFonts w:eastAsia="Times New Roman" w:cs="Times New Roman"/>
                <w:b/>
                <w:szCs w:val="24"/>
                <w:lang w:eastAsia="ru-RU"/>
              </w:rPr>
              <w:t>90</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205EE7">
        <w:trPr>
          <w:trHeight w:val="68"/>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763719" w:rsidRDefault="00570EE3" w:rsidP="001E0E8E">
      <w:pPr>
        <w:spacing w:after="0" w:line="240" w:lineRule="auto"/>
        <w:jc w:val="both"/>
        <w:rPr>
          <w:rFonts w:eastAsia="Times New Roman" w:cs="Times New Roman"/>
          <w:sz w:val="27"/>
          <w:szCs w:val="27"/>
          <w:lang w:eastAsia="ru-RU"/>
        </w:rPr>
      </w:pPr>
    </w:p>
    <w:p w14:paraId="4D877449" w14:textId="3A9416D2" w:rsidR="00230E8D" w:rsidRPr="00763719" w:rsidRDefault="00570EE3" w:rsidP="001E0E8E">
      <w:pPr>
        <w:widowControl w:val="0"/>
        <w:spacing w:after="0" w:line="240" w:lineRule="auto"/>
        <w:ind w:firstLine="708"/>
        <w:contextualSpacing/>
        <w:jc w:val="both"/>
        <w:rPr>
          <w:rFonts w:eastAsia="Calibri" w:cs="Times New Roman"/>
          <w:sz w:val="27"/>
          <w:szCs w:val="27"/>
          <w:lang w:eastAsia="ru-RU"/>
        </w:rPr>
      </w:pPr>
      <w:r w:rsidRPr="00763719">
        <w:rPr>
          <w:rFonts w:eastAsia="Calibri" w:cs="Times New Roman"/>
          <w:sz w:val="27"/>
          <w:szCs w:val="27"/>
        </w:rPr>
        <w:t xml:space="preserve">Член Кваліфікаційно-дисциплінарної комісії прокурорів </w:t>
      </w:r>
      <w:r w:rsidR="001648AE">
        <w:rPr>
          <w:rFonts w:eastAsia="Calibri" w:cs="Times New Roman"/>
          <w:sz w:val="27"/>
          <w:szCs w:val="27"/>
        </w:rPr>
        <w:t>Булулуков Олег Юрійович</w:t>
      </w:r>
      <w:r w:rsidRPr="00763719">
        <w:rPr>
          <w:rFonts w:eastAsia="Calibri" w:cs="Times New Roman"/>
          <w:sz w:val="27"/>
          <w:szCs w:val="27"/>
        </w:rPr>
        <w:t xml:space="preserve">, розглянувши дисциплінарну скаргу </w:t>
      </w:r>
      <w:bookmarkStart w:id="0" w:name="_Hlk154043567"/>
      <w:r w:rsidR="005140C5">
        <w:rPr>
          <w:rFonts w:eastAsia="Calibri" w:cs="Times New Roman"/>
          <w:sz w:val="27"/>
          <w:szCs w:val="27"/>
        </w:rPr>
        <w:t xml:space="preserve">ОСОБА_1 </w:t>
      </w:r>
      <w:r w:rsidR="00736286" w:rsidRPr="00763719">
        <w:rPr>
          <w:rFonts w:eastAsia="Calibri" w:cs="Times New Roman"/>
          <w:sz w:val="27"/>
          <w:szCs w:val="27"/>
        </w:rPr>
        <w:t xml:space="preserve">про </w:t>
      </w:r>
      <w:bookmarkEnd w:id="0"/>
      <w:r w:rsidRPr="00763719">
        <w:rPr>
          <w:rFonts w:eastAsia="Calibri" w:cs="Times New Roman"/>
          <w:sz w:val="27"/>
          <w:szCs w:val="27"/>
        </w:rPr>
        <w:t>вчинення</w:t>
      </w:r>
      <w:r w:rsidR="00BF1414" w:rsidRPr="00763719">
        <w:rPr>
          <w:rFonts w:eastAsia="Calibri" w:cs="Times New Roman"/>
          <w:sz w:val="27"/>
          <w:szCs w:val="27"/>
        </w:rPr>
        <w:t xml:space="preserve"> прокурором </w:t>
      </w:r>
      <w:r w:rsidR="001648AE">
        <w:rPr>
          <w:rFonts w:eastAsia="Calibri" w:cs="Times New Roman"/>
          <w:sz w:val="27"/>
          <w:szCs w:val="27"/>
        </w:rPr>
        <w:t xml:space="preserve">Кропивницької окружної прокуратури Кіровоградської області Головіною Тетяною Анатоліївною </w:t>
      </w:r>
      <w:r w:rsidR="00697A39" w:rsidRPr="00763719">
        <w:rPr>
          <w:rFonts w:eastAsia="Times New Roman" w:cs="Times New Roman"/>
          <w:sz w:val="27"/>
          <w:szCs w:val="27"/>
          <w:lang w:eastAsia="ru-RU"/>
        </w:rPr>
        <w:t>(</w:t>
      </w:r>
      <w:r w:rsidRPr="00763719">
        <w:rPr>
          <w:rFonts w:eastAsia="Calibri" w:cs="Times New Roman"/>
          <w:bCs/>
          <w:sz w:val="27"/>
          <w:szCs w:val="27"/>
        </w:rPr>
        <w:t>далі – прокурор</w:t>
      </w:r>
      <w:r w:rsidR="00736286" w:rsidRPr="00763719">
        <w:rPr>
          <w:rFonts w:eastAsia="Calibri" w:cs="Times New Roman"/>
          <w:bCs/>
          <w:sz w:val="27"/>
          <w:szCs w:val="27"/>
        </w:rPr>
        <w:t xml:space="preserve"> </w:t>
      </w:r>
      <w:r w:rsidR="001648AE">
        <w:rPr>
          <w:rFonts w:eastAsia="Calibri" w:cs="Times New Roman"/>
          <w:bCs/>
          <w:sz w:val="27"/>
          <w:szCs w:val="27"/>
        </w:rPr>
        <w:t>Головіна Т.А.</w:t>
      </w:r>
      <w:r w:rsidRPr="00763719">
        <w:rPr>
          <w:rFonts w:eastAsia="Calibri" w:cs="Times New Roman"/>
          <w:bCs/>
          <w:sz w:val="27"/>
          <w:szCs w:val="27"/>
        </w:rPr>
        <w:t xml:space="preserve">) </w:t>
      </w:r>
      <w:r w:rsidRPr="00763719">
        <w:rPr>
          <w:rFonts w:eastAsia="Calibri" w:cs="Times New Roman"/>
          <w:sz w:val="27"/>
          <w:szCs w:val="27"/>
          <w:lang w:eastAsia="ru-RU"/>
        </w:rPr>
        <w:t>дисциплінарного проступку,</w:t>
      </w:r>
    </w:p>
    <w:p w14:paraId="0577ABCB" w14:textId="3AD2BF28" w:rsidR="00570EE3" w:rsidRPr="00763719" w:rsidRDefault="00570EE3" w:rsidP="00FE5023">
      <w:pPr>
        <w:widowControl w:val="0"/>
        <w:spacing w:after="0" w:line="240" w:lineRule="auto"/>
        <w:contextualSpacing/>
        <w:jc w:val="center"/>
        <w:rPr>
          <w:rFonts w:eastAsia="Calibri" w:cs="Times New Roman"/>
          <w:b/>
          <w:noProof/>
          <w:sz w:val="27"/>
          <w:szCs w:val="27"/>
          <w:lang w:eastAsia="uk-UA"/>
        </w:rPr>
      </w:pPr>
      <w:r w:rsidRPr="00763719">
        <w:rPr>
          <w:rFonts w:eastAsia="Calibri" w:cs="Times New Roman"/>
          <w:b/>
          <w:noProof/>
          <w:sz w:val="27"/>
          <w:szCs w:val="27"/>
          <w:lang w:eastAsia="uk-UA"/>
        </w:rPr>
        <w:t>У С Т А Н О В И В:</w:t>
      </w:r>
    </w:p>
    <w:p w14:paraId="41FC3095" w14:textId="77777777" w:rsidR="00FE5023" w:rsidRPr="00763719" w:rsidRDefault="00FE5023" w:rsidP="00FE5023">
      <w:pPr>
        <w:widowControl w:val="0"/>
        <w:spacing w:after="0" w:line="240" w:lineRule="auto"/>
        <w:contextualSpacing/>
        <w:jc w:val="center"/>
        <w:rPr>
          <w:rFonts w:eastAsia="Calibri" w:cs="Times New Roman"/>
          <w:b/>
          <w:noProof/>
          <w:sz w:val="27"/>
          <w:szCs w:val="27"/>
          <w:lang w:eastAsia="uk-UA"/>
        </w:rPr>
      </w:pPr>
    </w:p>
    <w:p w14:paraId="5B063082" w14:textId="425D678C" w:rsidR="00570EE3" w:rsidRPr="00763719" w:rsidRDefault="00570EE3" w:rsidP="001E0E8E">
      <w:pPr>
        <w:widowControl w:val="0"/>
        <w:spacing w:after="0" w:line="240" w:lineRule="auto"/>
        <w:ind w:firstLine="709"/>
        <w:contextualSpacing/>
        <w:jc w:val="both"/>
        <w:rPr>
          <w:rFonts w:eastAsia="Calibri" w:cs="Times New Roman"/>
          <w:spacing w:val="-2"/>
          <w:sz w:val="27"/>
          <w:szCs w:val="27"/>
        </w:rPr>
      </w:pPr>
      <w:r w:rsidRPr="00763719">
        <w:rPr>
          <w:rFonts w:eastAsia="Calibri" w:cs="Times New Roman"/>
          <w:spacing w:val="-2"/>
          <w:sz w:val="27"/>
          <w:szCs w:val="27"/>
        </w:rPr>
        <w:t>До</w:t>
      </w:r>
      <w:r w:rsidRPr="00763719">
        <w:rPr>
          <w:rFonts w:eastAsia="Calibri" w:cs="Times New Roman"/>
          <w:bCs/>
          <w:spacing w:val="-2"/>
          <w:sz w:val="27"/>
          <w:szCs w:val="27"/>
        </w:rPr>
        <w:t xml:space="preserve"> Кваліфікаційно-дисциплінарної комісії прокурорів (далі – Комісія) </w:t>
      </w:r>
      <w:r w:rsidRPr="00763719">
        <w:rPr>
          <w:rFonts w:eastAsia="Calibri" w:cs="Times New Roman"/>
          <w:spacing w:val="-2"/>
          <w:sz w:val="27"/>
          <w:szCs w:val="27"/>
        </w:rPr>
        <w:t>надійшла дисциплінарна скарга</w:t>
      </w:r>
      <w:r w:rsidR="00925690" w:rsidRPr="00763719">
        <w:rPr>
          <w:rFonts w:eastAsia="Calibri" w:cs="Times New Roman"/>
          <w:spacing w:val="-2"/>
          <w:sz w:val="27"/>
          <w:szCs w:val="27"/>
        </w:rPr>
        <w:t xml:space="preserve"> </w:t>
      </w:r>
      <w:r w:rsidR="005140C5">
        <w:rPr>
          <w:rFonts w:eastAsia="Calibri" w:cs="Times New Roman"/>
          <w:spacing w:val="-2"/>
          <w:sz w:val="27"/>
          <w:szCs w:val="27"/>
        </w:rPr>
        <w:t xml:space="preserve">ОСОБА_1 </w:t>
      </w:r>
      <w:r w:rsidR="00BF1414" w:rsidRPr="00763719">
        <w:rPr>
          <w:rFonts w:eastAsia="Calibri" w:cs="Times New Roman"/>
          <w:spacing w:val="-2"/>
          <w:sz w:val="27"/>
          <w:szCs w:val="27"/>
        </w:rPr>
        <w:t xml:space="preserve">(далі – скаржник) про вчинення </w:t>
      </w:r>
      <w:r w:rsidRPr="00763719">
        <w:rPr>
          <w:rFonts w:eastAsia="Calibri" w:cs="Times New Roman"/>
          <w:spacing w:val="-2"/>
          <w:sz w:val="27"/>
          <w:szCs w:val="27"/>
        </w:rPr>
        <w:t>дисциплінарного проступку прокурор</w:t>
      </w:r>
      <w:r w:rsidR="00736286" w:rsidRPr="00763719">
        <w:rPr>
          <w:rFonts w:eastAsia="Calibri" w:cs="Times New Roman"/>
          <w:spacing w:val="-2"/>
          <w:sz w:val="27"/>
          <w:szCs w:val="27"/>
        </w:rPr>
        <w:t xml:space="preserve">ом </w:t>
      </w:r>
      <w:r w:rsidR="001648AE">
        <w:rPr>
          <w:rFonts w:eastAsia="Calibri" w:cs="Times New Roman"/>
          <w:spacing w:val="-2"/>
          <w:sz w:val="27"/>
          <w:szCs w:val="27"/>
        </w:rPr>
        <w:t>Головіною Т.А.</w:t>
      </w:r>
    </w:p>
    <w:p w14:paraId="177FDA0C" w14:textId="1E2B5CA3" w:rsidR="00570EE3" w:rsidRPr="00763719" w:rsidRDefault="00570EE3" w:rsidP="001E0E8E">
      <w:pPr>
        <w:widowControl w:val="0"/>
        <w:spacing w:after="0" w:line="240" w:lineRule="auto"/>
        <w:ind w:firstLine="709"/>
        <w:contextualSpacing/>
        <w:jc w:val="both"/>
        <w:rPr>
          <w:rFonts w:eastAsia="Calibri" w:cs="Times New Roman"/>
          <w:spacing w:val="-2"/>
          <w:sz w:val="27"/>
          <w:szCs w:val="27"/>
        </w:rPr>
      </w:pPr>
      <w:r w:rsidRPr="00763719">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763719">
        <w:rPr>
          <w:rFonts w:eastAsia="Calibri" w:cs="Times New Roman"/>
          <w:spacing w:val="-2"/>
          <w:sz w:val="27"/>
          <w:szCs w:val="27"/>
        </w:rPr>
        <w:t xml:space="preserve">мені </w:t>
      </w:r>
      <w:r w:rsidRPr="00763719">
        <w:rPr>
          <w:rFonts w:eastAsia="Calibri" w:cs="Times New Roman"/>
          <w:spacing w:val="-2"/>
          <w:sz w:val="27"/>
          <w:szCs w:val="27"/>
        </w:rPr>
        <w:t xml:space="preserve">(протокол розподілу від </w:t>
      </w:r>
      <w:r w:rsidR="00BF1414" w:rsidRPr="00763719">
        <w:rPr>
          <w:rFonts w:eastAsia="Calibri" w:cs="Times New Roman"/>
          <w:spacing w:val="-2"/>
          <w:sz w:val="27"/>
          <w:szCs w:val="27"/>
        </w:rPr>
        <w:t>0</w:t>
      </w:r>
      <w:r w:rsidR="001648AE">
        <w:rPr>
          <w:rFonts w:eastAsia="Calibri" w:cs="Times New Roman"/>
          <w:spacing w:val="-2"/>
          <w:sz w:val="27"/>
          <w:szCs w:val="27"/>
        </w:rPr>
        <w:t>9</w:t>
      </w:r>
      <w:r w:rsidR="00BF1414" w:rsidRPr="00763719">
        <w:rPr>
          <w:rFonts w:eastAsia="Calibri" w:cs="Times New Roman"/>
          <w:spacing w:val="-2"/>
          <w:sz w:val="27"/>
          <w:szCs w:val="27"/>
        </w:rPr>
        <w:t>.0</w:t>
      </w:r>
      <w:r w:rsidR="00736286" w:rsidRPr="00763719">
        <w:rPr>
          <w:rFonts w:eastAsia="Calibri" w:cs="Times New Roman"/>
          <w:spacing w:val="-2"/>
          <w:sz w:val="27"/>
          <w:szCs w:val="27"/>
        </w:rPr>
        <w:t>9</w:t>
      </w:r>
      <w:r w:rsidR="00BF1414" w:rsidRPr="00763719">
        <w:rPr>
          <w:rFonts w:eastAsia="Calibri" w:cs="Times New Roman"/>
          <w:spacing w:val="-2"/>
          <w:sz w:val="27"/>
          <w:szCs w:val="27"/>
        </w:rPr>
        <w:t>.2025</w:t>
      </w:r>
      <w:r w:rsidRPr="00763719">
        <w:rPr>
          <w:rFonts w:eastAsia="Calibri" w:cs="Times New Roman"/>
          <w:spacing w:val="-2"/>
          <w:sz w:val="27"/>
          <w:szCs w:val="27"/>
        </w:rPr>
        <w:t>).</w:t>
      </w:r>
    </w:p>
    <w:p w14:paraId="1EDCCAA4" w14:textId="008D9024" w:rsidR="00570EE3" w:rsidRDefault="00570EE3" w:rsidP="001E0E8E">
      <w:pPr>
        <w:widowControl w:val="0"/>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Вирішуючи питання щодо відкриття дисциплінарного провадження встановлено таке. </w:t>
      </w:r>
    </w:p>
    <w:p w14:paraId="51DF6E06" w14:textId="77777777" w:rsidR="001648AE" w:rsidRPr="00763719" w:rsidRDefault="001648AE" w:rsidP="001E0E8E">
      <w:pPr>
        <w:widowControl w:val="0"/>
        <w:spacing w:after="0" w:line="240" w:lineRule="auto"/>
        <w:ind w:firstLine="709"/>
        <w:contextualSpacing/>
        <w:jc w:val="both"/>
        <w:rPr>
          <w:rFonts w:eastAsia="Calibri" w:cs="Times New Roman"/>
          <w:spacing w:val="-2"/>
          <w:sz w:val="27"/>
          <w:szCs w:val="27"/>
          <w:shd w:val="clear" w:color="auto" w:fill="FFFFFF"/>
        </w:rPr>
      </w:pPr>
    </w:p>
    <w:p w14:paraId="1756A59C"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r w:rsidRPr="00763719">
        <w:rPr>
          <w:rFonts w:eastAsia="Calibri" w:cs="Times New Roman"/>
          <w:b/>
          <w:spacing w:val="-2"/>
          <w:sz w:val="27"/>
          <w:szCs w:val="27"/>
          <w:shd w:val="clear" w:color="auto" w:fill="FFFFFF"/>
        </w:rPr>
        <w:t>Зміст скарги</w:t>
      </w:r>
    </w:p>
    <w:p w14:paraId="124097D2" w14:textId="080E7AD7" w:rsidR="00864777"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Скаржни</w:t>
      </w:r>
      <w:r w:rsidR="00156A0B" w:rsidRPr="00763719">
        <w:rPr>
          <w:rFonts w:eastAsia="Calibri" w:cs="Times New Roman"/>
          <w:spacing w:val="-2"/>
          <w:sz w:val="27"/>
          <w:szCs w:val="27"/>
          <w:shd w:val="clear" w:color="auto" w:fill="FFFFFF"/>
        </w:rPr>
        <w:t>к</w:t>
      </w:r>
      <w:r w:rsidRPr="00763719">
        <w:rPr>
          <w:rFonts w:eastAsia="Calibri" w:cs="Times New Roman"/>
          <w:spacing w:val="-2"/>
          <w:sz w:val="27"/>
          <w:szCs w:val="27"/>
          <w:shd w:val="clear" w:color="auto" w:fill="FFFFFF"/>
        </w:rPr>
        <w:t xml:space="preserve"> зазначає, що</w:t>
      </w:r>
      <w:r w:rsidR="00156A0B" w:rsidRPr="00763719">
        <w:rPr>
          <w:rFonts w:eastAsia="Calibri" w:cs="Times New Roman"/>
          <w:spacing w:val="-2"/>
          <w:sz w:val="27"/>
          <w:szCs w:val="27"/>
          <w:shd w:val="clear" w:color="auto" w:fill="FFFFFF"/>
        </w:rPr>
        <w:t xml:space="preserve"> </w:t>
      </w:r>
      <w:r w:rsidR="00736286" w:rsidRPr="00763719">
        <w:rPr>
          <w:rFonts w:eastAsia="Calibri" w:cs="Times New Roman"/>
          <w:spacing w:val="-2"/>
          <w:sz w:val="27"/>
          <w:szCs w:val="27"/>
          <w:shd w:val="clear" w:color="auto" w:fill="FFFFFF"/>
        </w:rPr>
        <w:t xml:space="preserve">слідчими СВ </w:t>
      </w:r>
      <w:r w:rsidR="001648AE">
        <w:rPr>
          <w:rFonts w:eastAsia="Calibri" w:cs="Times New Roman"/>
          <w:spacing w:val="-2"/>
          <w:sz w:val="27"/>
          <w:szCs w:val="27"/>
          <w:shd w:val="clear" w:color="auto" w:fill="FFFFFF"/>
        </w:rPr>
        <w:t xml:space="preserve">ВП № 2 (м. Кропивницький) Кропивницького РУП ГУНП в Кіровоградській області </w:t>
      </w:r>
      <w:r w:rsidR="00736286" w:rsidRPr="00763719">
        <w:rPr>
          <w:rFonts w:eastAsia="Calibri" w:cs="Times New Roman"/>
          <w:spacing w:val="-2"/>
          <w:sz w:val="27"/>
          <w:szCs w:val="27"/>
          <w:shd w:val="clear" w:color="auto" w:fill="FFFFFF"/>
        </w:rPr>
        <w:t xml:space="preserve">упродовж тривалого часу </w:t>
      </w:r>
      <w:r w:rsidR="00BF1414" w:rsidRPr="00763719">
        <w:rPr>
          <w:rFonts w:eastAsia="Calibri" w:cs="Times New Roman"/>
          <w:spacing w:val="-2"/>
          <w:sz w:val="27"/>
          <w:szCs w:val="27"/>
          <w:shd w:val="clear" w:color="auto" w:fill="FFFFFF"/>
        </w:rPr>
        <w:t>здійсню</w:t>
      </w:r>
      <w:r w:rsidR="004B2B31">
        <w:rPr>
          <w:rFonts w:eastAsia="Calibri" w:cs="Times New Roman"/>
          <w:spacing w:val="-2"/>
          <w:sz w:val="27"/>
          <w:szCs w:val="27"/>
          <w:shd w:val="clear" w:color="auto" w:fill="FFFFFF"/>
        </w:rPr>
        <w:t>ється</w:t>
      </w:r>
      <w:r w:rsidR="00BF1414" w:rsidRPr="00763719">
        <w:rPr>
          <w:rFonts w:eastAsia="Calibri" w:cs="Times New Roman"/>
          <w:spacing w:val="-2"/>
          <w:sz w:val="27"/>
          <w:szCs w:val="27"/>
          <w:shd w:val="clear" w:color="auto" w:fill="FFFFFF"/>
        </w:rPr>
        <w:t xml:space="preserve"> досудове розслідування у </w:t>
      </w:r>
      <w:r w:rsidR="00156A0B" w:rsidRPr="00763719">
        <w:rPr>
          <w:rFonts w:eastAsia="Calibri" w:cs="Times New Roman"/>
          <w:spacing w:val="-2"/>
          <w:sz w:val="27"/>
          <w:szCs w:val="27"/>
          <w:shd w:val="clear" w:color="auto" w:fill="FFFFFF"/>
        </w:rPr>
        <w:t>кримінальн</w:t>
      </w:r>
      <w:r w:rsidR="00BF1414" w:rsidRPr="00763719">
        <w:rPr>
          <w:rFonts w:eastAsia="Calibri" w:cs="Times New Roman"/>
          <w:spacing w:val="-2"/>
          <w:sz w:val="27"/>
          <w:szCs w:val="27"/>
          <w:shd w:val="clear" w:color="auto" w:fill="FFFFFF"/>
        </w:rPr>
        <w:t xml:space="preserve">ому </w:t>
      </w:r>
      <w:r w:rsidR="00156A0B" w:rsidRPr="00763719">
        <w:rPr>
          <w:rFonts w:eastAsia="Calibri" w:cs="Times New Roman"/>
          <w:spacing w:val="-2"/>
          <w:sz w:val="27"/>
          <w:szCs w:val="27"/>
          <w:shd w:val="clear" w:color="auto" w:fill="FFFFFF"/>
        </w:rPr>
        <w:t>провадженн</w:t>
      </w:r>
      <w:r w:rsidR="00864777" w:rsidRPr="00763719">
        <w:rPr>
          <w:rFonts w:eastAsia="Calibri" w:cs="Times New Roman"/>
          <w:spacing w:val="-2"/>
          <w:sz w:val="27"/>
          <w:szCs w:val="27"/>
          <w:shd w:val="clear" w:color="auto" w:fill="FFFFFF"/>
        </w:rPr>
        <w:t xml:space="preserve">і </w:t>
      </w:r>
      <w:r w:rsidR="001648AE">
        <w:rPr>
          <w:rFonts w:eastAsia="Calibri" w:cs="Times New Roman"/>
          <w:spacing w:val="-2"/>
          <w:sz w:val="27"/>
          <w:szCs w:val="27"/>
          <w:shd w:val="clear" w:color="auto" w:fill="FFFFFF"/>
        </w:rPr>
        <w:br/>
        <w:t xml:space="preserve">№ </w:t>
      </w:r>
      <w:r w:rsidR="005140C5">
        <w:rPr>
          <w:rFonts w:eastAsia="Calibri" w:cs="Times New Roman"/>
          <w:spacing w:val="-2"/>
          <w:sz w:val="27"/>
          <w:szCs w:val="27"/>
          <w:shd w:val="clear" w:color="auto" w:fill="FFFFFF"/>
        </w:rPr>
        <w:t>(конфіденційна інформація)</w:t>
      </w:r>
      <w:r w:rsidR="001648AE">
        <w:rPr>
          <w:rFonts w:eastAsia="Calibri" w:cs="Times New Roman"/>
          <w:spacing w:val="-2"/>
          <w:sz w:val="27"/>
          <w:szCs w:val="27"/>
          <w:shd w:val="clear" w:color="auto" w:fill="FFFFFF"/>
        </w:rPr>
        <w:t xml:space="preserve"> </w:t>
      </w:r>
      <w:r w:rsidR="00864777" w:rsidRPr="00763719">
        <w:rPr>
          <w:rFonts w:eastAsia="Calibri" w:cs="Times New Roman"/>
          <w:spacing w:val="-2"/>
          <w:sz w:val="27"/>
          <w:szCs w:val="27"/>
          <w:shd w:val="clear" w:color="auto" w:fill="FFFFFF"/>
        </w:rPr>
        <w:t>від 17.02.20</w:t>
      </w:r>
      <w:r w:rsidR="001648AE">
        <w:rPr>
          <w:rFonts w:eastAsia="Calibri" w:cs="Times New Roman"/>
          <w:spacing w:val="-2"/>
          <w:sz w:val="27"/>
          <w:szCs w:val="27"/>
          <w:shd w:val="clear" w:color="auto" w:fill="FFFFFF"/>
        </w:rPr>
        <w:t>24 за ознаками кримінального правопорушення, передбаченого ст. 145 КК України</w:t>
      </w:r>
      <w:r w:rsidR="00736286" w:rsidRPr="00763719">
        <w:rPr>
          <w:rFonts w:eastAsia="Calibri" w:cs="Times New Roman"/>
          <w:spacing w:val="-2"/>
          <w:sz w:val="27"/>
          <w:szCs w:val="27"/>
          <w:shd w:val="clear" w:color="auto" w:fill="FFFFFF"/>
        </w:rPr>
        <w:t xml:space="preserve">. </w:t>
      </w:r>
      <w:r w:rsidR="00864777" w:rsidRPr="00763719">
        <w:rPr>
          <w:rFonts w:eastAsia="Calibri" w:cs="Times New Roman"/>
          <w:spacing w:val="-2"/>
          <w:sz w:val="27"/>
          <w:szCs w:val="27"/>
          <w:shd w:val="clear" w:color="auto" w:fill="FFFFFF"/>
        </w:rPr>
        <w:t>Процесуальне керівництво у зазначеному кримінальному провадженні на</w:t>
      </w:r>
      <w:r w:rsidR="00963B9F" w:rsidRPr="00763719">
        <w:rPr>
          <w:rFonts w:eastAsia="Calibri" w:cs="Times New Roman"/>
          <w:spacing w:val="-2"/>
          <w:sz w:val="27"/>
          <w:szCs w:val="27"/>
          <w:shd w:val="clear" w:color="auto" w:fill="FFFFFF"/>
        </w:rPr>
        <w:t xml:space="preserve"> теперішній час</w:t>
      </w:r>
      <w:r w:rsidR="00864777" w:rsidRPr="00763719">
        <w:rPr>
          <w:rFonts w:eastAsia="Calibri" w:cs="Times New Roman"/>
          <w:spacing w:val="-2"/>
          <w:sz w:val="27"/>
          <w:szCs w:val="27"/>
          <w:shd w:val="clear" w:color="auto" w:fill="FFFFFF"/>
        </w:rPr>
        <w:t xml:space="preserve"> здійсню</w:t>
      </w:r>
      <w:r w:rsidR="001648AE">
        <w:rPr>
          <w:rFonts w:eastAsia="Calibri" w:cs="Times New Roman"/>
          <w:spacing w:val="-2"/>
          <w:sz w:val="27"/>
          <w:szCs w:val="27"/>
          <w:shd w:val="clear" w:color="auto" w:fill="FFFFFF"/>
        </w:rPr>
        <w:t>ється</w:t>
      </w:r>
      <w:r w:rsidR="00864777" w:rsidRPr="00763719">
        <w:rPr>
          <w:rFonts w:eastAsia="Calibri" w:cs="Times New Roman"/>
          <w:spacing w:val="-2"/>
          <w:sz w:val="27"/>
          <w:szCs w:val="27"/>
          <w:shd w:val="clear" w:color="auto" w:fill="FFFFFF"/>
        </w:rPr>
        <w:t xml:space="preserve"> групою прокурорів </w:t>
      </w:r>
      <w:r w:rsidR="001648AE">
        <w:rPr>
          <w:rFonts w:eastAsia="Calibri" w:cs="Times New Roman"/>
          <w:spacing w:val="-2"/>
          <w:sz w:val="27"/>
          <w:szCs w:val="27"/>
          <w:shd w:val="clear" w:color="auto" w:fill="FFFFFF"/>
        </w:rPr>
        <w:t xml:space="preserve">Кропивницької окружної прокуратури </w:t>
      </w:r>
      <w:r w:rsidR="00864777" w:rsidRPr="00763719">
        <w:rPr>
          <w:rFonts w:eastAsia="Calibri" w:cs="Times New Roman"/>
          <w:spacing w:val="-2"/>
          <w:sz w:val="27"/>
          <w:szCs w:val="27"/>
          <w:shd w:val="clear" w:color="auto" w:fill="FFFFFF"/>
        </w:rPr>
        <w:t xml:space="preserve">на чолі з прокурором </w:t>
      </w:r>
      <w:r w:rsidR="005140C5">
        <w:rPr>
          <w:rFonts w:eastAsia="Calibri" w:cs="Times New Roman"/>
          <w:spacing w:val="-2"/>
          <w:sz w:val="27"/>
          <w:szCs w:val="27"/>
          <w:shd w:val="clear" w:color="auto" w:fill="FFFFFF"/>
        </w:rPr>
        <w:br/>
      </w:r>
      <w:r w:rsidR="001648AE">
        <w:rPr>
          <w:rFonts w:eastAsia="Calibri" w:cs="Times New Roman"/>
          <w:spacing w:val="-2"/>
          <w:sz w:val="27"/>
          <w:szCs w:val="27"/>
          <w:shd w:val="clear" w:color="auto" w:fill="FFFFFF"/>
        </w:rPr>
        <w:t>Головіною Т.А.</w:t>
      </w:r>
      <w:r w:rsidR="00D3162A" w:rsidRPr="00763719">
        <w:rPr>
          <w:rFonts w:eastAsia="Calibri" w:cs="Times New Roman"/>
          <w:spacing w:val="-2"/>
          <w:sz w:val="27"/>
          <w:szCs w:val="27"/>
          <w:shd w:val="clear" w:color="auto" w:fill="FFFFFF"/>
        </w:rPr>
        <w:t>, як</w:t>
      </w:r>
      <w:r w:rsidR="001648AE">
        <w:rPr>
          <w:rFonts w:eastAsia="Calibri" w:cs="Times New Roman"/>
          <w:spacing w:val="-2"/>
          <w:sz w:val="27"/>
          <w:szCs w:val="27"/>
          <w:shd w:val="clear" w:color="auto" w:fill="FFFFFF"/>
        </w:rPr>
        <w:t>ою</w:t>
      </w:r>
      <w:r w:rsidR="00D3162A" w:rsidRPr="00763719">
        <w:rPr>
          <w:rFonts w:eastAsia="Calibri" w:cs="Times New Roman"/>
          <w:spacing w:val="-2"/>
          <w:sz w:val="27"/>
          <w:szCs w:val="27"/>
          <w:shd w:val="clear" w:color="auto" w:fill="FFFFFF"/>
        </w:rPr>
        <w:t>, незважаючи на неефективне здійснення слідчими досудового розслідування належн</w:t>
      </w:r>
      <w:r w:rsidR="00B20C58" w:rsidRPr="00763719">
        <w:rPr>
          <w:rFonts w:eastAsia="Calibri" w:cs="Times New Roman"/>
          <w:spacing w:val="-2"/>
          <w:sz w:val="27"/>
          <w:szCs w:val="27"/>
          <w:shd w:val="clear" w:color="auto" w:fill="FFFFFF"/>
        </w:rPr>
        <w:t xml:space="preserve">их </w:t>
      </w:r>
      <w:r w:rsidR="00D3162A" w:rsidRPr="00763719">
        <w:rPr>
          <w:rFonts w:eastAsia="Calibri" w:cs="Times New Roman"/>
          <w:spacing w:val="-2"/>
          <w:sz w:val="27"/>
          <w:szCs w:val="27"/>
          <w:shd w:val="clear" w:color="auto" w:fill="FFFFFF"/>
        </w:rPr>
        <w:t>та достатні</w:t>
      </w:r>
      <w:r w:rsidR="00B20C58" w:rsidRPr="00763719">
        <w:rPr>
          <w:rFonts w:eastAsia="Calibri" w:cs="Times New Roman"/>
          <w:spacing w:val="-2"/>
          <w:sz w:val="27"/>
          <w:szCs w:val="27"/>
          <w:shd w:val="clear" w:color="auto" w:fill="FFFFFF"/>
        </w:rPr>
        <w:t>х</w:t>
      </w:r>
      <w:r w:rsidR="00D3162A" w:rsidRPr="00763719">
        <w:rPr>
          <w:rFonts w:eastAsia="Calibri" w:cs="Times New Roman"/>
          <w:spacing w:val="-2"/>
          <w:sz w:val="27"/>
          <w:szCs w:val="27"/>
          <w:shd w:val="clear" w:color="auto" w:fill="FFFFFF"/>
        </w:rPr>
        <w:t xml:space="preserve"> заход</w:t>
      </w:r>
      <w:r w:rsidR="00B20C58" w:rsidRPr="00763719">
        <w:rPr>
          <w:rFonts w:eastAsia="Calibri" w:cs="Times New Roman"/>
          <w:spacing w:val="-2"/>
          <w:sz w:val="27"/>
          <w:szCs w:val="27"/>
          <w:shd w:val="clear" w:color="auto" w:fill="FFFFFF"/>
        </w:rPr>
        <w:t>ів</w:t>
      </w:r>
      <w:r w:rsidR="00D3162A" w:rsidRPr="00763719">
        <w:rPr>
          <w:rFonts w:eastAsia="Calibri" w:cs="Times New Roman"/>
          <w:spacing w:val="-2"/>
          <w:sz w:val="27"/>
          <w:szCs w:val="27"/>
          <w:shd w:val="clear" w:color="auto" w:fill="FFFFFF"/>
        </w:rPr>
        <w:t xml:space="preserve"> для притягнення особи, яка вчинила кримінальне правопорушення</w:t>
      </w:r>
      <w:r w:rsidR="00B20C58" w:rsidRPr="00763719">
        <w:rPr>
          <w:rFonts w:eastAsia="Calibri" w:cs="Times New Roman"/>
          <w:spacing w:val="-2"/>
          <w:sz w:val="27"/>
          <w:szCs w:val="27"/>
          <w:shd w:val="clear" w:color="auto" w:fill="FFFFFF"/>
        </w:rPr>
        <w:t>,</w:t>
      </w:r>
      <w:r w:rsidR="00D3162A" w:rsidRPr="00763719">
        <w:rPr>
          <w:rFonts w:eastAsia="Calibri" w:cs="Times New Roman"/>
          <w:spacing w:val="-2"/>
          <w:sz w:val="27"/>
          <w:szCs w:val="27"/>
          <w:shd w:val="clear" w:color="auto" w:fill="FFFFFF"/>
        </w:rPr>
        <w:t xml:space="preserve"> до кримінальної відповідальності не вжи</w:t>
      </w:r>
      <w:r w:rsidR="00B20C58" w:rsidRPr="00763719">
        <w:rPr>
          <w:rFonts w:eastAsia="Calibri" w:cs="Times New Roman"/>
          <w:spacing w:val="-2"/>
          <w:sz w:val="27"/>
          <w:szCs w:val="27"/>
          <w:shd w:val="clear" w:color="auto" w:fill="FFFFFF"/>
        </w:rPr>
        <w:t>то</w:t>
      </w:r>
      <w:r w:rsidR="001648AE">
        <w:rPr>
          <w:rFonts w:eastAsia="Calibri" w:cs="Times New Roman"/>
          <w:spacing w:val="-2"/>
          <w:sz w:val="27"/>
          <w:szCs w:val="27"/>
          <w:shd w:val="clear" w:color="auto" w:fill="FFFFFF"/>
        </w:rPr>
        <w:t>, а питання щодо визначення підслідності кримінального провадження за територіальними органами Державного бюро розслідувань</w:t>
      </w:r>
      <w:r w:rsidR="004B2B31">
        <w:rPr>
          <w:rFonts w:eastAsia="Calibri" w:cs="Times New Roman"/>
          <w:spacing w:val="-2"/>
          <w:sz w:val="27"/>
          <w:szCs w:val="27"/>
          <w:shd w:val="clear" w:color="auto" w:fill="FFFFFF"/>
        </w:rPr>
        <w:t xml:space="preserve"> дотепер не вирішено.</w:t>
      </w:r>
    </w:p>
    <w:p w14:paraId="6064E912" w14:textId="70EC7688" w:rsidR="004B2B31" w:rsidRDefault="000C4171" w:rsidP="004B2B31">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Під час досудового розслідування скаржник неодноразов</w:t>
      </w:r>
      <w:r w:rsidR="00302F90">
        <w:rPr>
          <w:rFonts w:eastAsia="Calibri" w:cs="Times New Roman"/>
          <w:spacing w:val="-2"/>
          <w:sz w:val="27"/>
          <w:szCs w:val="27"/>
          <w:shd w:val="clear" w:color="auto" w:fill="FFFFFF"/>
        </w:rPr>
        <w:t>о</w:t>
      </w:r>
      <w:r w:rsidRPr="00763719">
        <w:rPr>
          <w:rFonts w:eastAsia="Calibri" w:cs="Times New Roman"/>
          <w:spacing w:val="-2"/>
          <w:sz w:val="27"/>
          <w:szCs w:val="27"/>
          <w:shd w:val="clear" w:color="auto" w:fill="FFFFFF"/>
        </w:rPr>
        <w:t xml:space="preserve"> зверта</w:t>
      </w:r>
      <w:r w:rsidR="004B2B31">
        <w:rPr>
          <w:rFonts w:eastAsia="Calibri" w:cs="Times New Roman"/>
          <w:spacing w:val="-2"/>
          <w:sz w:val="27"/>
          <w:szCs w:val="27"/>
          <w:shd w:val="clear" w:color="auto" w:fill="FFFFFF"/>
        </w:rPr>
        <w:t xml:space="preserve">лась до прокурора </w:t>
      </w:r>
      <w:r w:rsidRPr="00763719">
        <w:rPr>
          <w:rFonts w:eastAsia="Calibri" w:cs="Times New Roman"/>
          <w:spacing w:val="-2"/>
          <w:sz w:val="27"/>
          <w:szCs w:val="27"/>
          <w:shd w:val="clear" w:color="auto" w:fill="FFFFFF"/>
        </w:rPr>
        <w:t>із заявами та клопотаннями</w:t>
      </w:r>
      <w:r w:rsidR="004B2B31">
        <w:rPr>
          <w:rFonts w:eastAsia="Calibri" w:cs="Times New Roman"/>
          <w:spacing w:val="-2"/>
          <w:sz w:val="27"/>
          <w:szCs w:val="27"/>
          <w:shd w:val="clear" w:color="auto" w:fill="FFFFFF"/>
        </w:rPr>
        <w:t xml:space="preserve"> щодо вирішення питання визначення підслідності кримінального провадження за ДБР</w:t>
      </w:r>
      <w:r w:rsidRPr="00763719">
        <w:rPr>
          <w:rFonts w:eastAsia="Calibri" w:cs="Times New Roman"/>
          <w:spacing w:val="-2"/>
          <w:sz w:val="27"/>
          <w:szCs w:val="27"/>
          <w:shd w:val="clear" w:color="auto" w:fill="FFFFFF"/>
        </w:rPr>
        <w:t>, які</w:t>
      </w:r>
      <w:r w:rsidR="007A3D74">
        <w:rPr>
          <w:rFonts w:eastAsia="Calibri" w:cs="Times New Roman"/>
          <w:spacing w:val="-2"/>
          <w:sz w:val="27"/>
          <w:szCs w:val="27"/>
          <w:shd w:val="clear" w:color="auto" w:fill="FFFFFF"/>
        </w:rPr>
        <w:t xml:space="preserve"> ним</w:t>
      </w:r>
      <w:r w:rsidRPr="00763719">
        <w:rPr>
          <w:rFonts w:eastAsia="Calibri" w:cs="Times New Roman"/>
          <w:spacing w:val="-2"/>
          <w:sz w:val="27"/>
          <w:szCs w:val="27"/>
          <w:shd w:val="clear" w:color="auto" w:fill="FFFFFF"/>
        </w:rPr>
        <w:t xml:space="preserve"> належним чином не </w:t>
      </w:r>
      <w:r w:rsidRPr="00763719">
        <w:rPr>
          <w:rFonts w:eastAsia="Calibri" w:cs="Times New Roman"/>
          <w:spacing w:val="-2"/>
          <w:sz w:val="27"/>
          <w:szCs w:val="27"/>
          <w:shd w:val="clear" w:color="auto" w:fill="FFFFFF"/>
        </w:rPr>
        <w:lastRenderedPageBreak/>
        <w:t>розглядалися</w:t>
      </w:r>
      <w:r w:rsidR="004B2B31">
        <w:rPr>
          <w:rFonts w:eastAsia="Calibri" w:cs="Times New Roman"/>
          <w:spacing w:val="-2"/>
          <w:sz w:val="27"/>
          <w:szCs w:val="27"/>
          <w:shd w:val="clear" w:color="auto" w:fill="FFFFFF"/>
        </w:rPr>
        <w:t>.</w:t>
      </w:r>
    </w:p>
    <w:p w14:paraId="783B42CE" w14:textId="7713E8F4" w:rsidR="004B2B31" w:rsidRDefault="004B2B31" w:rsidP="004B2B31">
      <w:pPr>
        <w:widowControl w:val="0"/>
        <w:pBdr>
          <w:bottom w:val="single" w:sz="12" w:space="12" w:color="FFFFFF"/>
        </w:pBdr>
        <w:spacing w:after="0" w:line="240" w:lineRule="auto"/>
        <w:ind w:firstLine="709"/>
        <w:contextualSpacing/>
        <w:jc w:val="both"/>
        <w:rPr>
          <w:szCs w:val="28"/>
        </w:rPr>
      </w:pPr>
      <w:r>
        <w:rPr>
          <w:szCs w:val="28"/>
        </w:rPr>
        <w:t>Н</w:t>
      </w:r>
      <w:r w:rsidRPr="00F552E6">
        <w:rPr>
          <w:szCs w:val="28"/>
        </w:rPr>
        <w:t xml:space="preserve">а переконання скаржника, прокурор </w:t>
      </w:r>
      <w:r>
        <w:rPr>
          <w:szCs w:val="28"/>
        </w:rPr>
        <w:t xml:space="preserve">Головіна Т.А. </w:t>
      </w:r>
      <w:r w:rsidRPr="00F552E6">
        <w:rPr>
          <w:szCs w:val="28"/>
        </w:rPr>
        <w:t>допусти</w:t>
      </w:r>
      <w:r>
        <w:rPr>
          <w:szCs w:val="28"/>
        </w:rPr>
        <w:t>ла</w:t>
      </w:r>
      <w:r w:rsidRPr="00F552E6">
        <w:rPr>
          <w:szCs w:val="28"/>
        </w:rPr>
        <w:t xml:space="preserve"> бездіяльність у вигляді не</w:t>
      </w:r>
      <w:r>
        <w:rPr>
          <w:szCs w:val="28"/>
        </w:rPr>
        <w:t>розгляді</w:t>
      </w:r>
      <w:r w:rsidRPr="00F552E6">
        <w:rPr>
          <w:szCs w:val="28"/>
        </w:rPr>
        <w:t xml:space="preserve"> </w:t>
      </w:r>
      <w:r>
        <w:rPr>
          <w:szCs w:val="28"/>
        </w:rPr>
        <w:t>її</w:t>
      </w:r>
      <w:r w:rsidRPr="00F552E6">
        <w:rPr>
          <w:szCs w:val="28"/>
        </w:rPr>
        <w:t xml:space="preserve"> клопотан</w:t>
      </w:r>
      <w:r>
        <w:rPr>
          <w:szCs w:val="28"/>
        </w:rPr>
        <w:t xml:space="preserve">ь належним чином, </w:t>
      </w:r>
      <w:r w:rsidRPr="00F552E6">
        <w:rPr>
          <w:szCs w:val="28"/>
        </w:rPr>
        <w:t>не забезпечи</w:t>
      </w:r>
      <w:r>
        <w:rPr>
          <w:szCs w:val="28"/>
        </w:rPr>
        <w:t>ла</w:t>
      </w:r>
      <w:r w:rsidRPr="00F552E6">
        <w:rPr>
          <w:szCs w:val="28"/>
        </w:rPr>
        <w:t xml:space="preserve"> належного виконання завдань кримінального провадження, визначених ст. 2 КПК України, поруши</w:t>
      </w:r>
      <w:r>
        <w:rPr>
          <w:szCs w:val="28"/>
        </w:rPr>
        <w:t>ла</w:t>
      </w:r>
      <w:r w:rsidRPr="00F552E6">
        <w:rPr>
          <w:szCs w:val="28"/>
        </w:rPr>
        <w:t xml:space="preserve"> його засади</w:t>
      </w:r>
      <w:r>
        <w:rPr>
          <w:szCs w:val="28"/>
        </w:rPr>
        <w:t xml:space="preserve"> </w:t>
      </w:r>
      <w:r w:rsidRPr="00F552E6">
        <w:rPr>
          <w:szCs w:val="28"/>
        </w:rPr>
        <w:t>та неналежно виконува</w:t>
      </w:r>
      <w:r>
        <w:rPr>
          <w:szCs w:val="28"/>
        </w:rPr>
        <w:t>ла</w:t>
      </w:r>
      <w:r w:rsidRPr="00F552E6">
        <w:rPr>
          <w:szCs w:val="28"/>
        </w:rPr>
        <w:t xml:space="preserve"> службові обов’язки</w:t>
      </w:r>
      <w:r>
        <w:rPr>
          <w:szCs w:val="28"/>
        </w:rPr>
        <w:t>.</w:t>
      </w:r>
    </w:p>
    <w:p w14:paraId="65DE891D" w14:textId="12B123F5" w:rsidR="004B2B31" w:rsidRDefault="004B2B31" w:rsidP="004B2B31">
      <w:pPr>
        <w:widowControl w:val="0"/>
        <w:pBdr>
          <w:bottom w:val="single" w:sz="12" w:space="12" w:color="FFFFFF"/>
        </w:pBdr>
        <w:spacing w:after="0" w:line="240" w:lineRule="auto"/>
        <w:ind w:firstLine="709"/>
        <w:contextualSpacing/>
        <w:jc w:val="both"/>
        <w:rPr>
          <w:szCs w:val="28"/>
        </w:rPr>
      </w:pPr>
      <w:r w:rsidRPr="00022635">
        <w:rPr>
          <w:szCs w:val="28"/>
        </w:rPr>
        <w:t>Водночас дисциплінарна скарга не відповідає встановленим вимогам до її змісту. У ній відсутнє чітке посилання на конкретну підставу дисциплінарної відповідальності, передбачену ст</w:t>
      </w:r>
      <w:r w:rsidR="002F51D2">
        <w:rPr>
          <w:szCs w:val="28"/>
        </w:rPr>
        <w:t>.</w:t>
      </w:r>
      <w:r w:rsidRPr="00022635">
        <w:rPr>
          <w:szCs w:val="28"/>
        </w:rPr>
        <w:t xml:space="preserve"> 43 Закону України «Про прокуратуру» від 14 жовтня 2014 року № 1697-VII</w:t>
      </w:r>
      <w:r>
        <w:rPr>
          <w:szCs w:val="28"/>
        </w:rPr>
        <w:t xml:space="preserve"> (далі – Закон № </w:t>
      </w:r>
      <w:r w:rsidRPr="00022635">
        <w:rPr>
          <w:szCs w:val="28"/>
        </w:rPr>
        <w:t>1697-VII</w:t>
      </w:r>
      <w:r>
        <w:rPr>
          <w:szCs w:val="28"/>
        </w:rPr>
        <w:t>)</w:t>
      </w:r>
      <w:r w:rsidRPr="00022635">
        <w:rPr>
          <w:szCs w:val="28"/>
        </w:rPr>
        <w:t xml:space="preserve">. </w:t>
      </w:r>
    </w:p>
    <w:p w14:paraId="2573B65B" w14:textId="253F1BF1" w:rsidR="004B2B31" w:rsidRPr="00022635" w:rsidRDefault="004B2B31" w:rsidP="004B2B31">
      <w:pPr>
        <w:widowControl w:val="0"/>
        <w:pBdr>
          <w:bottom w:val="single" w:sz="12" w:space="12" w:color="FFFFFF"/>
        </w:pBdr>
        <w:spacing w:after="0" w:line="240" w:lineRule="auto"/>
        <w:ind w:firstLine="709"/>
        <w:contextualSpacing/>
        <w:jc w:val="both"/>
        <w:rPr>
          <w:szCs w:val="28"/>
        </w:rPr>
      </w:pPr>
      <w:r>
        <w:rPr>
          <w:szCs w:val="28"/>
        </w:rPr>
        <w:t>Однак, з</w:t>
      </w:r>
      <w:r w:rsidRPr="00022635">
        <w:rPr>
          <w:szCs w:val="28"/>
        </w:rPr>
        <w:t xml:space="preserve"> аналізу викладеного вбачається, що скаржник фактично вбачає порушення у неналежному виконанні прокурором службових обов’язків під час здійснення процесуального керівництва, що відповідно до п</w:t>
      </w:r>
      <w:r>
        <w:rPr>
          <w:szCs w:val="28"/>
        </w:rPr>
        <w:t xml:space="preserve">. 1 ч. 1 ст. </w:t>
      </w:r>
      <w:r w:rsidRPr="00022635">
        <w:rPr>
          <w:szCs w:val="28"/>
        </w:rPr>
        <w:t>43 Закону № 1697-VII може розглядатися як дисциплінарний проступок.</w:t>
      </w:r>
    </w:p>
    <w:p w14:paraId="24D6F8CB" w14:textId="77777777" w:rsidR="004B2B31" w:rsidRPr="00763719" w:rsidRDefault="004B2B31" w:rsidP="004B2B31">
      <w:pPr>
        <w:widowControl w:val="0"/>
        <w:pBdr>
          <w:bottom w:val="single" w:sz="12" w:space="12" w:color="FFFFFF"/>
        </w:pBdr>
        <w:spacing w:after="0" w:line="240" w:lineRule="auto"/>
        <w:contextualSpacing/>
        <w:jc w:val="both"/>
        <w:rPr>
          <w:rFonts w:eastAsia="Calibri" w:cs="Times New Roman"/>
          <w:spacing w:val="-2"/>
          <w:sz w:val="27"/>
          <w:szCs w:val="27"/>
          <w:shd w:val="clear" w:color="auto" w:fill="FFFFFF"/>
        </w:rPr>
      </w:pPr>
    </w:p>
    <w:p w14:paraId="7E272328" w14:textId="0C686AD2"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
          <w:sz w:val="27"/>
          <w:szCs w:val="27"/>
        </w:rPr>
      </w:pPr>
      <w:r w:rsidRPr="00763719">
        <w:rPr>
          <w:rFonts w:eastAsia="Calibri" w:cs="Times New Roman"/>
          <w:b/>
          <w:sz w:val="27"/>
          <w:szCs w:val="27"/>
        </w:rPr>
        <w:t>Щодо встановлених фактичних даних</w:t>
      </w:r>
    </w:p>
    <w:p w14:paraId="0529030A" w14:textId="7BDC15D3" w:rsidR="000C4171" w:rsidRPr="00CE1781" w:rsidRDefault="00570EE3" w:rsidP="00AF6564">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 xml:space="preserve">До дисциплінарної скарги </w:t>
      </w:r>
      <w:r w:rsidR="00F462A4" w:rsidRPr="00763719">
        <w:rPr>
          <w:rFonts w:eastAsia="Calibri" w:cs="Times New Roman"/>
          <w:sz w:val="27"/>
          <w:szCs w:val="27"/>
        </w:rPr>
        <w:t>долучено копії</w:t>
      </w:r>
      <w:r w:rsidR="00D82C7A" w:rsidRPr="00763719">
        <w:rPr>
          <w:rFonts w:eastAsia="Calibri" w:cs="Times New Roman"/>
          <w:sz w:val="27"/>
          <w:szCs w:val="27"/>
        </w:rPr>
        <w:t xml:space="preserve"> наступних документів</w:t>
      </w:r>
      <w:r w:rsidR="00F462A4" w:rsidRPr="00763719">
        <w:rPr>
          <w:rFonts w:eastAsia="Calibri" w:cs="Times New Roman"/>
          <w:sz w:val="27"/>
          <w:szCs w:val="27"/>
        </w:rPr>
        <w:t>:</w:t>
      </w:r>
      <w:r w:rsidR="00D82C7A" w:rsidRPr="00763719">
        <w:rPr>
          <w:rFonts w:eastAsia="Calibri" w:cs="Times New Roman"/>
          <w:sz w:val="27"/>
          <w:szCs w:val="27"/>
        </w:rPr>
        <w:t xml:space="preserve"> </w:t>
      </w:r>
      <w:bookmarkStart w:id="1" w:name="_Hlk189495421"/>
      <w:r w:rsidR="00CE1781">
        <w:rPr>
          <w:rFonts w:eastAsia="Calibri" w:cs="Times New Roman"/>
          <w:sz w:val="27"/>
          <w:szCs w:val="27"/>
        </w:rPr>
        <w:t xml:space="preserve">клопотань </w:t>
      </w:r>
      <w:r w:rsidR="005140C5">
        <w:rPr>
          <w:rFonts w:eastAsia="Calibri" w:cs="Times New Roman"/>
          <w:sz w:val="27"/>
          <w:szCs w:val="27"/>
        </w:rPr>
        <w:t xml:space="preserve">ОСОБА_1 </w:t>
      </w:r>
      <w:r w:rsidR="00CE1781">
        <w:rPr>
          <w:rFonts w:eastAsia="Calibri" w:cs="Times New Roman"/>
          <w:sz w:val="27"/>
          <w:szCs w:val="27"/>
        </w:rPr>
        <w:t xml:space="preserve">від 11.04.2024, </w:t>
      </w:r>
      <w:r w:rsidR="002F51D2">
        <w:rPr>
          <w:rFonts w:eastAsia="Calibri" w:cs="Times New Roman"/>
          <w:sz w:val="27"/>
          <w:szCs w:val="27"/>
        </w:rPr>
        <w:t xml:space="preserve">17.05.2024, 29.07.2024, 31.10.2024, </w:t>
      </w:r>
      <w:r w:rsidR="00CE1781">
        <w:rPr>
          <w:rFonts w:eastAsia="Calibri" w:cs="Times New Roman"/>
          <w:sz w:val="27"/>
          <w:szCs w:val="27"/>
        </w:rPr>
        <w:t xml:space="preserve">02.12.2024, 01.09.2025; скарг </w:t>
      </w:r>
      <w:r w:rsidR="005140C5">
        <w:rPr>
          <w:rFonts w:eastAsia="Calibri" w:cs="Times New Roman"/>
          <w:sz w:val="27"/>
          <w:szCs w:val="27"/>
        </w:rPr>
        <w:t xml:space="preserve">ОСОБА_1 </w:t>
      </w:r>
      <w:r w:rsidR="00CE1781">
        <w:rPr>
          <w:rFonts w:eastAsia="Calibri" w:cs="Times New Roman"/>
          <w:sz w:val="27"/>
          <w:szCs w:val="27"/>
        </w:rPr>
        <w:t>від 11.04.2024, 26.07.2024; витягу з ЄРДР; пам</w:t>
      </w:r>
      <w:r w:rsidR="00CE1781" w:rsidRPr="00CE1781">
        <w:rPr>
          <w:rFonts w:eastAsia="Calibri" w:cs="Times New Roman"/>
          <w:sz w:val="27"/>
          <w:szCs w:val="27"/>
        </w:rPr>
        <w:t>’</w:t>
      </w:r>
      <w:r w:rsidR="00CE1781">
        <w:rPr>
          <w:rFonts w:eastAsia="Calibri" w:cs="Times New Roman"/>
          <w:sz w:val="27"/>
          <w:szCs w:val="27"/>
        </w:rPr>
        <w:t>ятки про процесуальні права та обов</w:t>
      </w:r>
      <w:r w:rsidR="00CE1781" w:rsidRPr="00CE1781">
        <w:rPr>
          <w:rFonts w:eastAsia="Calibri" w:cs="Times New Roman"/>
          <w:sz w:val="27"/>
          <w:szCs w:val="27"/>
        </w:rPr>
        <w:t>’</w:t>
      </w:r>
      <w:r w:rsidR="00CE1781">
        <w:rPr>
          <w:rFonts w:eastAsia="Calibri" w:cs="Times New Roman"/>
          <w:sz w:val="27"/>
          <w:szCs w:val="27"/>
        </w:rPr>
        <w:t>язки потерпілого; листів Кропивницької окружної прокуратури від 14.03.2024, 11.04.2024, 17.04.2024, 24.05.2024, 29.07.2024, 01.08.2024, 22.08.2025; листа Кіровоградської обласної прокуратури від 01.05.2024.</w:t>
      </w:r>
    </w:p>
    <w:p w14:paraId="1D6F8B23" w14:textId="77777777" w:rsidR="004B2B31" w:rsidRPr="00763719" w:rsidRDefault="004B2B31" w:rsidP="00AF6564">
      <w:pPr>
        <w:widowControl w:val="0"/>
        <w:pBdr>
          <w:bottom w:val="single" w:sz="12" w:space="12" w:color="FFFFFF"/>
        </w:pBdr>
        <w:spacing w:after="0" w:line="240" w:lineRule="auto"/>
        <w:ind w:firstLine="709"/>
        <w:contextualSpacing/>
        <w:jc w:val="both"/>
        <w:rPr>
          <w:rFonts w:eastAsia="Calibri" w:cs="Times New Roman"/>
          <w:sz w:val="27"/>
          <w:szCs w:val="27"/>
        </w:rPr>
      </w:pPr>
    </w:p>
    <w:p w14:paraId="6BBEBE90" w14:textId="77777777" w:rsidR="00E646E5" w:rsidRPr="00763719"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bookmarkStart w:id="2" w:name="n778"/>
      <w:bookmarkEnd w:id="1"/>
      <w:bookmarkEnd w:id="2"/>
      <w:r w:rsidRPr="00763719">
        <w:rPr>
          <w:rFonts w:eastAsia="Calibri" w:cs="Times New Roman"/>
          <w:b/>
          <w:spacing w:val="-2"/>
          <w:sz w:val="27"/>
          <w:szCs w:val="27"/>
          <w:shd w:val="clear" w:color="auto" w:fill="FFFFFF"/>
        </w:rPr>
        <w:t>Щодо джерел права, які підлягають застосуванню</w:t>
      </w:r>
    </w:p>
    <w:p w14:paraId="6B990A38" w14:textId="52F787F6" w:rsidR="00E646E5" w:rsidRPr="00763719" w:rsidRDefault="002F51D2"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Pr>
          <w:rFonts w:eastAsia="Calibri" w:cs="Times New Roman"/>
          <w:bCs/>
          <w:spacing w:val="-2"/>
          <w:sz w:val="27"/>
          <w:szCs w:val="27"/>
          <w:shd w:val="clear" w:color="auto" w:fill="FFFFFF"/>
        </w:rPr>
        <w:t>У ч</w:t>
      </w:r>
      <w:r w:rsidR="004B2B31">
        <w:rPr>
          <w:rFonts w:eastAsia="Calibri" w:cs="Times New Roman"/>
          <w:bCs/>
          <w:spacing w:val="-2"/>
          <w:sz w:val="27"/>
          <w:szCs w:val="27"/>
          <w:shd w:val="clear" w:color="auto" w:fill="FFFFFF"/>
        </w:rPr>
        <w:t xml:space="preserve">. </w:t>
      </w:r>
      <w:r w:rsidR="00570EE3" w:rsidRPr="00763719">
        <w:rPr>
          <w:rFonts w:eastAsia="Calibri" w:cs="Times New Roman"/>
          <w:bCs/>
          <w:spacing w:val="-2"/>
          <w:sz w:val="27"/>
          <w:szCs w:val="27"/>
          <w:shd w:val="clear" w:color="auto" w:fill="FFFFFF"/>
        </w:rPr>
        <w:t xml:space="preserve">2 ст. 19 Конституції України визначено, </w:t>
      </w:r>
      <w:r w:rsidR="00AF6564" w:rsidRPr="00763719">
        <w:rPr>
          <w:rFonts w:eastAsia="Calibri" w:cs="Times New Roman"/>
          <w:bCs/>
          <w:sz w:val="27"/>
          <w:szCs w:val="27"/>
        </w:rPr>
        <w:t>що органи державної влади та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1E500B24"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w:t>
      </w:r>
      <w:r w:rsidR="004B2B31">
        <w:rPr>
          <w:rFonts w:eastAsia="Calibri" w:cs="Times New Roman"/>
          <w:bCs/>
          <w:sz w:val="27"/>
          <w:szCs w:val="27"/>
        </w:rPr>
        <w:t>.п.</w:t>
      </w:r>
      <w:r w:rsidRPr="00AF6564">
        <w:rPr>
          <w:rFonts w:eastAsia="Calibri" w:cs="Times New Roman"/>
          <w:bCs/>
          <w:sz w:val="27"/>
          <w:szCs w:val="27"/>
        </w:rPr>
        <w:t xml:space="preserve"> 1, 3 ч</w:t>
      </w:r>
      <w:r w:rsidR="00763719" w:rsidRPr="00763719">
        <w:rPr>
          <w:rFonts w:eastAsia="Calibri" w:cs="Times New Roman"/>
          <w:bCs/>
          <w:sz w:val="27"/>
          <w:szCs w:val="27"/>
        </w:rPr>
        <w:t xml:space="preserve">. 1 </w:t>
      </w:r>
      <w:r w:rsidR="002D4B3F">
        <w:rPr>
          <w:rFonts w:eastAsia="Calibri" w:cs="Times New Roman"/>
          <w:bCs/>
          <w:sz w:val="27"/>
          <w:szCs w:val="27"/>
        </w:rPr>
        <w:t xml:space="preserve">                </w:t>
      </w:r>
      <w:r w:rsidRPr="00AF6564">
        <w:rPr>
          <w:rFonts w:eastAsia="Calibri" w:cs="Times New Roman"/>
          <w:bCs/>
          <w:sz w:val="27"/>
          <w:szCs w:val="27"/>
        </w:rPr>
        <w:t>ст</w:t>
      </w:r>
      <w:r w:rsidR="00763719" w:rsidRPr="00763719">
        <w:rPr>
          <w:rFonts w:eastAsia="Calibri" w:cs="Times New Roman"/>
          <w:bCs/>
          <w:sz w:val="27"/>
          <w:szCs w:val="27"/>
        </w:rPr>
        <w:t>.</w:t>
      </w:r>
      <w:r w:rsidR="002D4B3F">
        <w:rPr>
          <w:rFonts w:eastAsia="Calibri" w:cs="Times New Roman"/>
          <w:bCs/>
          <w:sz w:val="27"/>
          <w:szCs w:val="27"/>
        </w:rPr>
        <w:t xml:space="preserve"> </w:t>
      </w:r>
      <w:r w:rsidRPr="00AF6564">
        <w:rPr>
          <w:rFonts w:eastAsia="Calibri" w:cs="Times New Roman"/>
          <w:bCs/>
          <w:sz w:val="27"/>
          <w:szCs w:val="27"/>
        </w:rPr>
        <w:t xml:space="preserve">2 Закону </w:t>
      </w:r>
      <w:r w:rsidR="00763719" w:rsidRPr="00763719">
        <w:rPr>
          <w:rFonts w:eastAsia="Calibri" w:cs="Times New Roman"/>
          <w:spacing w:val="-2"/>
          <w:sz w:val="27"/>
          <w:szCs w:val="27"/>
          <w:shd w:val="clear" w:color="auto" w:fill="FFFFFF"/>
        </w:rPr>
        <w:t>№ 1697-</w:t>
      </w:r>
      <w:r w:rsidR="00763719" w:rsidRPr="00763719">
        <w:rPr>
          <w:rFonts w:eastAsia="Calibri" w:cs="Times New Roman"/>
          <w:spacing w:val="-2"/>
          <w:sz w:val="27"/>
          <w:szCs w:val="27"/>
          <w:shd w:val="clear" w:color="auto" w:fill="FFFFFF"/>
          <w:lang w:val="en-US"/>
        </w:rPr>
        <w:t>VII</w:t>
      </w:r>
      <w:r w:rsidR="00763719" w:rsidRPr="00763719">
        <w:rPr>
          <w:rFonts w:eastAsia="Calibri" w:cs="Times New Roman"/>
          <w:spacing w:val="-2"/>
          <w:sz w:val="27"/>
          <w:szCs w:val="27"/>
          <w:shd w:val="clear" w:color="auto" w:fill="FFFFFF"/>
        </w:rPr>
        <w:t>.</w:t>
      </w:r>
      <w:r w:rsidRPr="00AF6564">
        <w:rPr>
          <w:rFonts w:eastAsia="Calibri" w:cs="Times New Roman"/>
          <w:bCs/>
          <w:color w:val="FF0000"/>
          <w:sz w:val="27"/>
          <w:szCs w:val="27"/>
        </w:rPr>
        <w:t xml:space="preserve"> </w:t>
      </w:r>
    </w:p>
    <w:p w14:paraId="6FDA490B" w14:textId="38EBA8E6"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Відповідно до ст</w:t>
      </w:r>
      <w:r w:rsidR="00763719" w:rsidRPr="00763719">
        <w:rPr>
          <w:rFonts w:eastAsia="Calibri" w:cs="Times New Roman"/>
          <w:bCs/>
          <w:sz w:val="27"/>
          <w:szCs w:val="27"/>
        </w:rPr>
        <w:t>.</w:t>
      </w:r>
      <w:r w:rsidRPr="00AF6564">
        <w:rPr>
          <w:rFonts w:eastAsia="Calibri" w:cs="Times New Roman"/>
          <w:bCs/>
          <w:sz w:val="27"/>
          <w:szCs w:val="27"/>
        </w:rPr>
        <w:t xml:space="preserve"> 1 К</w:t>
      </w:r>
      <w:r w:rsidR="00763719" w:rsidRPr="00763719">
        <w:rPr>
          <w:rFonts w:eastAsia="Calibri" w:cs="Times New Roman"/>
          <w:bCs/>
          <w:sz w:val="27"/>
          <w:szCs w:val="27"/>
        </w:rPr>
        <w:t xml:space="preserve">ПК України </w:t>
      </w:r>
      <w:r w:rsidRPr="00AF6564">
        <w:rPr>
          <w:rFonts w:eastAsia="Calibri" w:cs="Times New Roman"/>
          <w:bCs/>
          <w:sz w:val="27"/>
          <w:szCs w:val="27"/>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3B7895E1" w:rsidR="00E646E5" w:rsidRPr="00763719" w:rsidRDefault="006A4BC9"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Pr>
          <w:rFonts w:eastAsia="Calibri" w:cs="Times New Roman"/>
          <w:bCs/>
          <w:sz w:val="27"/>
          <w:szCs w:val="27"/>
        </w:rPr>
        <w:t>У ч</w:t>
      </w:r>
      <w:r w:rsidR="00CE1781">
        <w:rPr>
          <w:rFonts w:eastAsia="Calibri" w:cs="Times New Roman"/>
          <w:bCs/>
          <w:sz w:val="27"/>
          <w:szCs w:val="27"/>
        </w:rPr>
        <w:t>.</w:t>
      </w:r>
      <w:r w:rsidR="00AF6564" w:rsidRPr="00AF6564">
        <w:rPr>
          <w:rFonts w:eastAsia="Calibri" w:cs="Times New Roman"/>
          <w:bCs/>
          <w:sz w:val="27"/>
          <w:szCs w:val="27"/>
        </w:rPr>
        <w:t xml:space="preserve"> </w:t>
      </w:r>
      <w:r w:rsidR="00763719" w:rsidRPr="00763719">
        <w:rPr>
          <w:rFonts w:eastAsia="Calibri" w:cs="Times New Roman"/>
          <w:bCs/>
          <w:sz w:val="27"/>
          <w:szCs w:val="27"/>
        </w:rPr>
        <w:t xml:space="preserve">1 ст. </w:t>
      </w:r>
      <w:r w:rsidR="00AF6564" w:rsidRPr="00AF6564">
        <w:rPr>
          <w:rFonts w:eastAsia="Calibri" w:cs="Times New Roman"/>
          <w:bCs/>
          <w:sz w:val="27"/>
          <w:szCs w:val="27"/>
        </w:rPr>
        <w:t>22 та ч</w:t>
      </w:r>
      <w:r w:rsidR="00763719" w:rsidRPr="00763719">
        <w:rPr>
          <w:rFonts w:eastAsia="Calibri" w:cs="Times New Roman"/>
          <w:bCs/>
          <w:sz w:val="27"/>
          <w:szCs w:val="27"/>
        </w:rPr>
        <w:t xml:space="preserve">. 1 ст. </w:t>
      </w:r>
      <w:r w:rsidR="00AF6564" w:rsidRPr="00AF6564">
        <w:rPr>
          <w:rFonts w:eastAsia="Calibri" w:cs="Times New Roman"/>
          <w:bCs/>
          <w:sz w:val="27"/>
          <w:szCs w:val="27"/>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00AF6564" w:rsidRPr="00AF6564">
        <w:rPr>
          <w:rFonts w:eastAsia="Calibri" w:cs="Times New Roman"/>
          <w:bCs/>
          <w:sz w:val="27"/>
          <w:szCs w:val="27"/>
        </w:rPr>
        <w:t xml:space="preserve"> Сторони кримінального провадження є вільними у використанні своїх прав у межах та у спосіб, передбачених цим Кодексом. </w:t>
      </w:r>
    </w:p>
    <w:p w14:paraId="4DD47E26" w14:textId="07474B2C" w:rsidR="00E646E5" w:rsidRPr="00763719" w:rsidRDefault="00204F3B" w:rsidP="00E646E5">
      <w:pPr>
        <w:widowControl w:val="0"/>
        <w:pBdr>
          <w:bottom w:val="single" w:sz="12" w:space="12" w:color="FFFFFF"/>
        </w:pBdr>
        <w:spacing w:after="0" w:line="240" w:lineRule="auto"/>
        <w:ind w:firstLine="709"/>
        <w:contextualSpacing/>
        <w:jc w:val="both"/>
        <w:rPr>
          <w:rFonts w:eastAsia="Calibri" w:cs="Times New Roman"/>
          <w:sz w:val="27"/>
          <w:szCs w:val="27"/>
        </w:rPr>
      </w:pPr>
      <w:r>
        <w:rPr>
          <w:rFonts w:eastAsia="Calibri" w:cs="Times New Roman"/>
          <w:bCs/>
          <w:sz w:val="27"/>
          <w:szCs w:val="27"/>
        </w:rPr>
        <w:t xml:space="preserve">Так, ст. </w:t>
      </w:r>
      <w:r w:rsidR="00AF6564" w:rsidRPr="00AF6564">
        <w:rPr>
          <w:rFonts w:eastAsia="Calibri" w:cs="Times New Roman"/>
          <w:bCs/>
          <w:sz w:val="27"/>
          <w:szCs w:val="27"/>
        </w:rPr>
        <w:t>24 КПК України передбач</w:t>
      </w:r>
      <w:r w:rsidR="006A4BC9">
        <w:rPr>
          <w:rFonts w:eastAsia="Calibri" w:cs="Times New Roman"/>
          <w:bCs/>
          <w:sz w:val="27"/>
          <w:szCs w:val="27"/>
        </w:rPr>
        <w:t>ає</w:t>
      </w:r>
      <w:r w:rsidR="00AF6564" w:rsidRPr="00AF6564">
        <w:rPr>
          <w:rFonts w:eastAsia="Calibri" w:cs="Times New Roman"/>
          <w:bCs/>
          <w:sz w:val="27"/>
          <w:szCs w:val="27"/>
        </w:rPr>
        <w:t xml:space="preserve"> </w:t>
      </w:r>
      <w:r w:rsidR="00AF6564" w:rsidRPr="00AF6564">
        <w:rPr>
          <w:rFonts w:eastAsia="Calibri" w:cs="Times New Roman"/>
          <w:sz w:val="27"/>
          <w:szCs w:val="27"/>
        </w:rPr>
        <w:t>забезпечення права на</w:t>
      </w:r>
      <w:r w:rsidR="006A4BC9">
        <w:rPr>
          <w:rFonts w:eastAsia="Calibri" w:cs="Times New Roman"/>
          <w:sz w:val="27"/>
          <w:szCs w:val="27"/>
        </w:rPr>
        <w:t xml:space="preserve"> </w:t>
      </w:r>
      <w:r w:rsidR="00AF6564" w:rsidRPr="00AF6564">
        <w:rPr>
          <w:rFonts w:eastAsia="Calibri" w:cs="Times New Roman"/>
          <w:sz w:val="27"/>
          <w:szCs w:val="27"/>
        </w:rPr>
        <w:t>оскарження процесуальних рішень,</w:t>
      </w:r>
      <w:r w:rsidR="006A4BC9">
        <w:rPr>
          <w:rFonts w:eastAsia="Calibri" w:cs="Times New Roman"/>
          <w:sz w:val="27"/>
          <w:szCs w:val="27"/>
        </w:rPr>
        <w:t xml:space="preserve"> </w:t>
      </w:r>
      <w:r w:rsidR="00AF6564" w:rsidRPr="00AF6564">
        <w:rPr>
          <w:rFonts w:eastAsia="Calibri" w:cs="Times New Roman"/>
          <w:sz w:val="27"/>
          <w:szCs w:val="27"/>
        </w:rPr>
        <w:t>дій</w:t>
      </w:r>
      <w:r w:rsidR="006A4BC9">
        <w:rPr>
          <w:rFonts w:eastAsia="Calibri" w:cs="Times New Roman"/>
          <w:sz w:val="27"/>
          <w:szCs w:val="27"/>
        </w:rPr>
        <w:t xml:space="preserve"> </w:t>
      </w:r>
      <w:r w:rsidR="00AF6564" w:rsidRPr="00AF6564">
        <w:rPr>
          <w:rFonts w:eastAsia="Calibri" w:cs="Times New Roman"/>
          <w:sz w:val="27"/>
          <w:szCs w:val="27"/>
        </w:rPr>
        <w:t>чи бездіяльності суду, слідчого судді,</w:t>
      </w:r>
      <w:r w:rsidR="006A4BC9">
        <w:rPr>
          <w:rFonts w:eastAsia="Calibri" w:cs="Times New Roman"/>
          <w:sz w:val="27"/>
          <w:szCs w:val="27"/>
        </w:rPr>
        <w:t xml:space="preserve"> </w:t>
      </w:r>
      <w:r w:rsidR="00AF6564" w:rsidRPr="00AF6564">
        <w:rPr>
          <w:rFonts w:eastAsia="Calibri" w:cs="Times New Roman"/>
          <w:sz w:val="27"/>
          <w:szCs w:val="27"/>
        </w:rPr>
        <w:t>прокурора, слідчого в порядку, передбаченому цим Кодексом.</w:t>
      </w:r>
    </w:p>
    <w:p w14:paraId="696B0E8D" w14:textId="468A600F"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sz w:val="27"/>
          <w:szCs w:val="27"/>
        </w:rPr>
      </w:pPr>
      <w:r w:rsidRPr="00AF6564">
        <w:rPr>
          <w:rFonts w:eastAsia="Calibri" w:cs="Times New Roman"/>
          <w:sz w:val="27"/>
          <w:szCs w:val="27"/>
        </w:rPr>
        <w:t>Однією із засад діяльності прокуратури, як це визначено у ст</w:t>
      </w:r>
      <w:r w:rsidR="00763719" w:rsidRPr="00763719">
        <w:rPr>
          <w:rFonts w:eastAsia="Calibri" w:cs="Times New Roman"/>
          <w:sz w:val="27"/>
          <w:szCs w:val="27"/>
        </w:rPr>
        <w:t>.</w:t>
      </w:r>
      <w:r w:rsidR="006A4BC9">
        <w:rPr>
          <w:rFonts w:eastAsia="Calibri" w:cs="Times New Roman"/>
          <w:sz w:val="27"/>
          <w:szCs w:val="27"/>
        </w:rPr>
        <w:t xml:space="preserve"> </w:t>
      </w:r>
      <w:r w:rsidRPr="00AF6564">
        <w:rPr>
          <w:rFonts w:eastAsia="Calibri" w:cs="Times New Roman"/>
          <w:sz w:val="27"/>
          <w:szCs w:val="27"/>
        </w:rPr>
        <w:t>3 Закону</w:t>
      </w:r>
      <w:r w:rsidR="006A4BC9">
        <w:rPr>
          <w:rFonts w:eastAsia="Calibri" w:cs="Times New Roman"/>
          <w:sz w:val="27"/>
          <w:szCs w:val="27"/>
        </w:rPr>
        <w:t xml:space="preserve"> </w:t>
      </w:r>
      <w:r w:rsidR="006A4BC9" w:rsidRPr="00763719">
        <w:rPr>
          <w:rFonts w:eastAsia="Calibri" w:cs="Times New Roman"/>
          <w:spacing w:val="-2"/>
          <w:sz w:val="27"/>
          <w:szCs w:val="27"/>
          <w:shd w:val="clear" w:color="auto" w:fill="FFFFFF"/>
        </w:rPr>
        <w:lastRenderedPageBreak/>
        <w:t>№1697-</w:t>
      </w:r>
      <w:r w:rsidR="006A4BC9" w:rsidRPr="00763719">
        <w:rPr>
          <w:rFonts w:eastAsia="Calibri" w:cs="Times New Roman"/>
          <w:spacing w:val="-2"/>
          <w:sz w:val="27"/>
          <w:szCs w:val="27"/>
          <w:shd w:val="clear" w:color="auto" w:fill="FFFFFF"/>
          <w:lang w:val="en-US"/>
        </w:rPr>
        <w:t>VII</w:t>
      </w:r>
      <w:r w:rsidRPr="00AF6564">
        <w:rPr>
          <w:rFonts w:eastAsia="Calibri" w:cs="Times New Roman"/>
          <w:sz w:val="27"/>
          <w:szCs w:val="27"/>
        </w:rPr>
        <w:t>, є незалежність прокурорів. Зі змісту ч</w:t>
      </w:r>
      <w:r w:rsidR="004B2B31">
        <w:rPr>
          <w:rFonts w:eastAsia="Calibri" w:cs="Times New Roman"/>
          <w:sz w:val="27"/>
          <w:szCs w:val="27"/>
        </w:rPr>
        <w:t xml:space="preserve">. 2 ст. </w:t>
      </w:r>
      <w:r w:rsidRPr="00AF6564">
        <w:rPr>
          <w:rFonts w:eastAsia="Calibri" w:cs="Times New Roman"/>
          <w:sz w:val="27"/>
          <w:szCs w:val="27"/>
        </w:rPr>
        <w:t xml:space="preserve">16 </w:t>
      </w:r>
      <w:r w:rsidR="00B844C4">
        <w:rPr>
          <w:rFonts w:eastAsia="Calibri" w:cs="Times New Roman"/>
          <w:sz w:val="27"/>
          <w:szCs w:val="27"/>
        </w:rPr>
        <w:t xml:space="preserve">зазначеного </w:t>
      </w:r>
      <w:r w:rsidRPr="00AF6564">
        <w:rPr>
          <w:rFonts w:eastAsia="Calibri" w:cs="Times New Roman"/>
          <w:sz w:val="27"/>
          <w:szCs w:val="27"/>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05E8E2E7" w:rsidR="00AF6564" w:rsidRPr="00AF6564"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Законодавцем передбачена спеціальна процедура оскарження рішень, дій чи бездіяльності прокурора під час досудового розслідування (ст</w:t>
      </w:r>
      <w:r w:rsidR="004B2B31">
        <w:rPr>
          <w:rFonts w:eastAsia="Calibri" w:cs="Times New Roman"/>
          <w:bCs/>
          <w:sz w:val="27"/>
          <w:szCs w:val="27"/>
        </w:rPr>
        <w:t xml:space="preserve">.ст. </w:t>
      </w:r>
      <w:r w:rsidRPr="00AF6564">
        <w:rPr>
          <w:rFonts w:eastAsia="Calibri" w:cs="Times New Roman"/>
          <w:bCs/>
          <w:sz w:val="27"/>
          <w:szCs w:val="27"/>
        </w:rPr>
        <w:t xml:space="preserve">303 – 307 КПК України). </w:t>
      </w:r>
    </w:p>
    <w:p w14:paraId="67B3F1E0" w14:textId="708DAB13" w:rsidR="00AF6564" w:rsidRPr="00763719"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Про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13F51EBF" w:rsidR="00450BC4" w:rsidRPr="00763719" w:rsidRDefault="00AF6564" w:rsidP="00450BC4">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6A4BC9">
        <w:rPr>
          <w:rFonts w:eastAsia="Calibri" w:cs="Times New Roman"/>
          <w:bCs/>
          <w:sz w:val="27"/>
          <w:szCs w:val="27"/>
        </w:rPr>
        <w:t xml:space="preserve"> </w:t>
      </w:r>
      <w:r w:rsidRPr="00AF6564">
        <w:rPr>
          <w:rFonts w:eastAsia="Calibri" w:cs="Times New Roman"/>
          <w:bCs/>
          <w:sz w:val="27"/>
          <w:szCs w:val="27"/>
        </w:rPr>
        <w:t xml:space="preserve">України, що є гарантією самостійності прокурорів у своїй процесуальній діяльності та невтручання </w:t>
      </w:r>
      <w:r w:rsidR="001922F8">
        <w:rPr>
          <w:rFonts w:eastAsia="Calibri" w:cs="Times New Roman"/>
          <w:bCs/>
          <w:sz w:val="27"/>
          <w:szCs w:val="27"/>
        </w:rPr>
        <w:t xml:space="preserve">у неї </w:t>
      </w:r>
      <w:r w:rsidR="00834008" w:rsidRPr="00AF6564">
        <w:rPr>
          <w:rFonts w:eastAsia="Calibri" w:cs="Times New Roman"/>
          <w:bCs/>
          <w:sz w:val="27"/>
          <w:szCs w:val="27"/>
        </w:rPr>
        <w:t xml:space="preserve">осіб </w:t>
      </w:r>
      <w:r w:rsidRPr="00AF6564">
        <w:rPr>
          <w:rFonts w:eastAsia="Calibri" w:cs="Times New Roman"/>
          <w:bCs/>
          <w:sz w:val="27"/>
          <w:szCs w:val="27"/>
        </w:rPr>
        <w:t>без законних на те повноважень.</w:t>
      </w:r>
    </w:p>
    <w:p w14:paraId="1C5CF383" w14:textId="68BC0BDE" w:rsidR="00450BC4" w:rsidRPr="00763719" w:rsidRDefault="00450BC4" w:rsidP="001E0E8E">
      <w:pPr>
        <w:widowControl w:val="0"/>
        <w:pBdr>
          <w:bottom w:val="single" w:sz="12" w:space="12" w:color="FFFFFF"/>
        </w:pBdr>
        <w:spacing w:after="0" w:line="240" w:lineRule="auto"/>
        <w:ind w:firstLine="709"/>
        <w:contextualSpacing/>
        <w:jc w:val="both"/>
        <w:rPr>
          <w:rFonts w:eastAsia="Calibri" w:cs="Times New Roman"/>
          <w:sz w:val="27"/>
          <w:szCs w:val="27"/>
          <w:lang w:eastAsia="uk-UA"/>
        </w:rPr>
      </w:pPr>
      <w:r w:rsidRPr="00450BC4">
        <w:rPr>
          <w:rFonts w:eastAsia="Calibri" w:cs="Times New Roman"/>
          <w:sz w:val="27"/>
          <w:szCs w:val="27"/>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763719">
        <w:rPr>
          <w:rFonts w:eastAsia="Calibri" w:cs="Times New Roman"/>
          <w:sz w:val="27"/>
          <w:szCs w:val="27"/>
          <w:lang w:eastAsia="uk-UA"/>
        </w:rPr>
        <w:t>.07.</w:t>
      </w:r>
      <w:r w:rsidRPr="00450BC4">
        <w:rPr>
          <w:rFonts w:eastAsia="Calibri" w:cs="Times New Roman"/>
          <w:sz w:val="27"/>
          <w:szCs w:val="27"/>
          <w:lang w:eastAsia="uk-UA"/>
        </w:rPr>
        <w:t>2018 у справі № 9901/565/18).</w:t>
      </w:r>
    </w:p>
    <w:p w14:paraId="495CF46B" w14:textId="3493CEDA"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П</w:t>
      </w:r>
      <w:r w:rsidR="00834008">
        <w:rPr>
          <w:rFonts w:eastAsia="Calibri" w:cs="Times New Roman"/>
          <w:sz w:val="27"/>
          <w:szCs w:val="27"/>
        </w:rPr>
        <w:t>.</w:t>
      </w:r>
      <w:r w:rsidRPr="00763719">
        <w:rPr>
          <w:rFonts w:eastAsia="Calibri" w:cs="Times New Roman"/>
          <w:sz w:val="27"/>
          <w:szCs w:val="27"/>
        </w:rPr>
        <w:t xml:space="preserve"> 21 Керівних принципів, що</w:t>
      </w:r>
      <w:r w:rsidR="000E451A">
        <w:rPr>
          <w:rFonts w:eastAsia="Calibri" w:cs="Times New Roman"/>
          <w:sz w:val="27"/>
          <w:szCs w:val="27"/>
        </w:rPr>
        <w:t>до</w:t>
      </w:r>
      <w:r w:rsidRPr="00763719">
        <w:rPr>
          <w:rFonts w:eastAsia="Calibri" w:cs="Times New Roman"/>
          <w:sz w:val="27"/>
          <w:szCs w:val="27"/>
        </w:rPr>
        <w:t xml:space="preserve">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763719">
        <w:rPr>
          <w:rFonts w:eastAsia="Calibri" w:cs="Times New Roman"/>
          <w:sz w:val="27"/>
          <w:szCs w:val="27"/>
        </w:rPr>
        <w:t> </w:t>
      </w:r>
      <w:r w:rsidRPr="00763719">
        <w:rPr>
          <w:rFonts w:eastAsia="Calibri" w:cs="Times New Roman"/>
          <w:sz w:val="27"/>
          <w:szCs w:val="27"/>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763719">
        <w:rPr>
          <w:rFonts w:eastAsia="Calibri" w:cs="Times New Roman"/>
          <w:sz w:val="27"/>
          <w:szCs w:val="27"/>
        </w:rPr>
        <w:t>ня, у яких стверджує</w:t>
      </w:r>
      <w:r w:rsidRPr="00763719">
        <w:rPr>
          <w:rFonts w:eastAsia="Calibri"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 w:val="27"/>
          <w:szCs w:val="27"/>
        </w:rPr>
      </w:pPr>
      <w:r w:rsidRPr="00763719">
        <w:rPr>
          <w:rFonts w:eastAsia="Calibri" w:cs="Times New Roman"/>
          <w:spacing w:val="4"/>
          <w:sz w:val="27"/>
          <w:szCs w:val="27"/>
        </w:rPr>
        <w:t>Як зазначив Верховний Суд у складі колегії суддів Касаційного адміністративного суду (рішення від 04</w:t>
      </w:r>
      <w:r w:rsidR="00DD4A5E" w:rsidRPr="00763719">
        <w:rPr>
          <w:rFonts w:eastAsia="Calibri" w:cs="Times New Roman"/>
          <w:spacing w:val="4"/>
          <w:sz w:val="27"/>
          <w:szCs w:val="27"/>
        </w:rPr>
        <w:t>.03.</w:t>
      </w:r>
      <w:r w:rsidRPr="00763719">
        <w:rPr>
          <w:rFonts w:eastAsia="Calibri" w:cs="Times New Roman"/>
          <w:spacing w:val="4"/>
          <w:sz w:val="27"/>
          <w:szCs w:val="27"/>
        </w:rPr>
        <w:t xml:space="preserve">2019 </w:t>
      </w:r>
      <w:r w:rsidR="00DD4A5E" w:rsidRPr="00763719">
        <w:rPr>
          <w:rFonts w:eastAsia="Calibri" w:cs="Times New Roman"/>
          <w:spacing w:val="4"/>
          <w:sz w:val="27"/>
          <w:szCs w:val="27"/>
        </w:rPr>
        <w:t>у</w:t>
      </w:r>
      <w:r w:rsidRPr="00763719">
        <w:rPr>
          <w:rFonts w:eastAsia="Calibri" w:cs="Times New Roman"/>
          <w:spacing w:val="4"/>
          <w:sz w:val="27"/>
          <w:szCs w:val="27"/>
        </w:rPr>
        <w:t xml:space="preserve"> справі №</w:t>
      </w:r>
      <w:r w:rsidR="000C17F9" w:rsidRPr="00763719">
        <w:rPr>
          <w:rFonts w:eastAsia="Calibri" w:cs="Times New Roman"/>
          <w:spacing w:val="4"/>
          <w:sz w:val="27"/>
          <w:szCs w:val="27"/>
        </w:rPr>
        <w:t xml:space="preserve"> </w:t>
      </w:r>
      <w:r w:rsidRPr="00763719">
        <w:rPr>
          <w:rFonts w:eastAsia="Calibri" w:cs="Times New Roman"/>
          <w:spacing w:val="4"/>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1E10D58F"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w:t>
      </w:r>
      <w:r w:rsidR="000E451A">
        <w:rPr>
          <w:rFonts w:eastAsia="Calibri" w:cs="Times New Roman"/>
          <w:sz w:val="27"/>
          <w:szCs w:val="27"/>
        </w:rPr>
        <w:t>в</w:t>
      </w:r>
      <w:r w:rsidRPr="00763719">
        <w:rPr>
          <w:rFonts w:eastAsia="Calibri" w:cs="Times New Roman"/>
          <w:sz w:val="27"/>
          <w:szCs w:val="27"/>
        </w:rPr>
        <w:t xml:space="preserve"> постанові по справі </w:t>
      </w:r>
      <w:r w:rsidR="00CE1781" w:rsidRPr="00763719">
        <w:rPr>
          <w:rFonts w:eastAsia="Calibri" w:cs="Times New Roman"/>
          <w:sz w:val="27"/>
          <w:szCs w:val="27"/>
        </w:rPr>
        <w:t>від 19.03.2019</w:t>
      </w:r>
      <w:r w:rsidR="007E4227">
        <w:rPr>
          <w:rFonts w:eastAsia="Calibri" w:cs="Times New Roman"/>
          <w:sz w:val="27"/>
          <w:szCs w:val="27"/>
        </w:rPr>
        <w:t xml:space="preserve"> </w:t>
      </w:r>
      <w:r w:rsidRPr="00763719">
        <w:rPr>
          <w:rFonts w:eastAsia="Calibri" w:cs="Times New Roman"/>
          <w:sz w:val="27"/>
          <w:szCs w:val="27"/>
        </w:rPr>
        <w:t>№ 9901/577/18, в якій в</w:t>
      </w:r>
      <w:r w:rsidR="00FB640E" w:rsidRPr="00763719">
        <w:rPr>
          <w:rFonts w:eastAsia="Calibri" w:cs="Times New Roman"/>
          <w:sz w:val="27"/>
          <w:szCs w:val="27"/>
        </w:rPr>
        <w:t>изна</w:t>
      </w:r>
      <w:r w:rsidR="000E451A">
        <w:rPr>
          <w:rFonts w:eastAsia="Calibri" w:cs="Times New Roman"/>
          <w:sz w:val="27"/>
          <w:szCs w:val="27"/>
        </w:rPr>
        <w:t>че</w:t>
      </w:r>
      <w:r w:rsidR="00FB640E" w:rsidRPr="00763719">
        <w:rPr>
          <w:rFonts w:eastAsia="Calibri" w:cs="Times New Roman"/>
          <w:sz w:val="27"/>
          <w:szCs w:val="27"/>
        </w:rPr>
        <w:t>но</w:t>
      </w:r>
      <w:r w:rsidRPr="00763719">
        <w:rPr>
          <w:rFonts w:eastAsia="Calibri" w:cs="Times New Roman"/>
          <w:sz w:val="27"/>
          <w:szCs w:val="27"/>
        </w:rPr>
        <w:t xml:space="preserve">, </w:t>
      </w:r>
      <w:r w:rsidR="002B4422" w:rsidRPr="00763719">
        <w:rPr>
          <w:rFonts w:eastAsia="Calibri" w:cs="Times New Roman"/>
          <w:sz w:val="27"/>
          <w:szCs w:val="27"/>
        </w:rPr>
        <w:t>серед іншого</w:t>
      </w:r>
      <w:r w:rsidRPr="00763719">
        <w:rPr>
          <w:rFonts w:eastAsia="Calibri" w:cs="Times New Roman"/>
          <w:sz w:val="27"/>
          <w:szCs w:val="27"/>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763719">
          <w:rPr>
            <w:rFonts w:eastAsia="Calibri" w:cs="Times New Roman"/>
            <w:sz w:val="27"/>
            <w:szCs w:val="27"/>
          </w:rPr>
          <w:t>ст. 37 КПК України</w:t>
        </w:r>
      </w:hyperlink>
      <w:r w:rsidRPr="00763719">
        <w:rPr>
          <w:rFonts w:eastAsia="Calibri" w:cs="Times New Roman"/>
          <w:sz w:val="27"/>
          <w:szCs w:val="27"/>
        </w:rPr>
        <w:t xml:space="preserve"> в </w:t>
      </w:r>
      <w:r w:rsidRPr="00763719">
        <w:rPr>
          <w:rFonts w:eastAsia="Calibri" w:cs="Times New Roman"/>
          <w:sz w:val="27"/>
          <w:szCs w:val="27"/>
        </w:rPr>
        <w:lastRenderedPageBreak/>
        <w:t>порядку, встановленому </w:t>
      </w:r>
      <w:hyperlink r:id="rId8" w:anchor="2378" w:tgtFrame="_blank" w:tooltip="Кримінальний процесуальний кодекс України; нормативно-правовий акт № 4651-VI від 13.04.2012" w:history="1">
        <w:r w:rsidRPr="00763719">
          <w:rPr>
            <w:rFonts w:eastAsia="Calibri" w:cs="Times New Roman"/>
            <w:sz w:val="27"/>
            <w:szCs w:val="27"/>
          </w:rPr>
          <w:t>ст.ст. 311–313 КПК України</w:t>
        </w:r>
      </w:hyperlink>
      <w:r w:rsidRPr="00763719">
        <w:rPr>
          <w:rFonts w:eastAsia="Calibri" w:cs="Times New Roman"/>
          <w:sz w:val="27"/>
          <w:szCs w:val="27"/>
        </w:rPr>
        <w:t xml:space="preserve">, є вагомою обставиною при оцінці ефективності </w:t>
      </w:r>
      <w:r w:rsidR="00B07A1A" w:rsidRPr="00763719">
        <w:rPr>
          <w:rFonts w:eastAsia="Calibri" w:cs="Times New Roman"/>
          <w:sz w:val="27"/>
          <w:szCs w:val="27"/>
        </w:rPr>
        <w:t xml:space="preserve">здійснення </w:t>
      </w:r>
      <w:r w:rsidR="000E451A" w:rsidRPr="00763719">
        <w:rPr>
          <w:rFonts w:eastAsia="Calibri" w:cs="Times New Roman"/>
          <w:sz w:val="27"/>
          <w:szCs w:val="27"/>
        </w:rPr>
        <w:t xml:space="preserve">прокурором </w:t>
      </w:r>
      <w:r w:rsidRPr="00763719">
        <w:rPr>
          <w:rFonts w:eastAsia="Calibri" w:cs="Times New Roman"/>
          <w:sz w:val="27"/>
          <w:szCs w:val="27"/>
        </w:rPr>
        <w:t>процесуального керівництва.</w:t>
      </w:r>
    </w:p>
    <w:p w14:paraId="4C30CA8A"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4EF64F7F" w:rsidR="00570EE3" w:rsidRPr="00763719" w:rsidRDefault="000E451A"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Pr>
          <w:rFonts w:eastAsia="Calibri" w:cs="Times New Roman"/>
          <w:bCs/>
          <w:spacing w:val="-2"/>
          <w:sz w:val="27"/>
          <w:szCs w:val="27"/>
          <w:shd w:val="clear" w:color="auto" w:fill="FFFFFF"/>
        </w:rPr>
        <w:t>У ч.</w:t>
      </w:r>
      <w:r w:rsidR="00570EE3" w:rsidRPr="00763719">
        <w:rPr>
          <w:rFonts w:eastAsia="Calibri" w:cs="Times New Roman"/>
          <w:bCs/>
          <w:spacing w:val="-2"/>
          <w:sz w:val="27"/>
          <w:szCs w:val="27"/>
          <w:shd w:val="clear" w:color="auto" w:fill="FFFFFF"/>
        </w:rPr>
        <w:t xml:space="preserve"> 1 ст. 43 цього </w:t>
      </w:r>
      <w:r w:rsidR="00570EE3" w:rsidRPr="00763719">
        <w:rPr>
          <w:rFonts w:eastAsia="Calibri" w:cs="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2) дисциплінарна скарга є анонімною;</w:t>
      </w:r>
    </w:p>
    <w:p w14:paraId="562F89D2"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3) дисциплінарна скарга подана з підстав, не визначених </w:t>
      </w:r>
      <w:hyperlink r:id="rId9" w:anchor="n416" w:history="1">
        <w:r w:rsidRPr="00763719">
          <w:rPr>
            <w:rFonts w:eastAsia="Calibri" w:cs="Times New Roman"/>
            <w:spacing w:val="-2"/>
            <w:sz w:val="27"/>
            <w:szCs w:val="27"/>
            <w:shd w:val="clear" w:color="auto" w:fill="FFFFFF"/>
          </w:rPr>
          <w:t>ст.43</w:t>
        </w:r>
      </w:hyperlink>
      <w:r w:rsidRPr="00763719">
        <w:rPr>
          <w:rFonts w:eastAsia="Calibri" w:cs="Times New Roman"/>
          <w:spacing w:val="-2"/>
          <w:sz w:val="27"/>
          <w:szCs w:val="27"/>
          <w:shd w:val="clear" w:color="auto" w:fill="FFFFFF"/>
        </w:rPr>
        <w:t> цього Закону;</w:t>
      </w:r>
    </w:p>
    <w:p w14:paraId="78C70E22"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763719">
          <w:rPr>
            <w:rFonts w:eastAsia="Calibri" w:cs="Times New Roman"/>
            <w:spacing w:val="-2"/>
            <w:sz w:val="27"/>
            <w:szCs w:val="27"/>
            <w:shd w:val="clear" w:color="auto" w:fill="FFFFFF"/>
          </w:rPr>
          <w:t> ст. 51</w:t>
        </w:r>
      </w:hyperlink>
      <w:r w:rsidRPr="00763719">
        <w:rPr>
          <w:rFonts w:eastAsia="Calibri" w:cs="Times New Roman"/>
          <w:spacing w:val="-2"/>
          <w:sz w:val="27"/>
          <w:szCs w:val="27"/>
          <w:shd w:val="clear" w:color="auto" w:fill="FFFFFF"/>
        </w:rPr>
        <w:t> цього Закону;</w:t>
      </w:r>
    </w:p>
    <w:p w14:paraId="07762E2F"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Times New Roman" w:cs="Times New Roman"/>
          <w:bCs/>
          <w:sz w:val="27"/>
          <w:szCs w:val="27"/>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763719">
        <w:rPr>
          <w:rFonts w:eastAsia="Times New Roman" w:cs="Times New Roman"/>
          <w:bCs/>
          <w:sz w:val="27"/>
          <w:szCs w:val="27"/>
          <w:shd w:val="clear" w:color="auto" w:fill="FFFFFF"/>
          <w:lang w:eastAsia="ru-RU"/>
        </w:rPr>
        <w:t xml:space="preserve"> Так, </w:t>
      </w:r>
      <w:r w:rsidR="007B6DC3" w:rsidRPr="00763719">
        <w:rPr>
          <w:rFonts w:eastAsia="Calibri" w:cs="Times New Roman"/>
          <w:spacing w:val="-2"/>
          <w:sz w:val="27"/>
          <w:szCs w:val="27"/>
          <w:shd w:val="clear" w:color="auto" w:fill="FFFFFF"/>
        </w:rPr>
        <w:t xml:space="preserve">відповідно </w:t>
      </w:r>
      <w:r w:rsidRPr="00763719">
        <w:rPr>
          <w:rFonts w:eastAsia="Calibri" w:cs="Times New Roman"/>
          <w:spacing w:val="-2"/>
          <w:sz w:val="27"/>
          <w:szCs w:val="27"/>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763719">
        <w:rPr>
          <w:rFonts w:eastAsia="Calibri" w:cs="Times New Roman"/>
          <w:spacing w:val="-2"/>
          <w:sz w:val="27"/>
          <w:szCs w:val="27"/>
          <w:shd w:val="clear" w:color="auto" w:fill="FFFFFF"/>
        </w:rPr>
        <w:t xml:space="preserve">, </w:t>
      </w:r>
      <w:r w:rsidR="007B6DC3" w:rsidRPr="00763719">
        <w:rPr>
          <w:rFonts w:eastAsia="Calibri" w:cs="Times New Roman"/>
          <w:sz w:val="27"/>
          <w:szCs w:val="27"/>
        </w:rPr>
        <w:t>прийнятого всеукраїнською конференцією прокурорів 27.04.2017 (зі змінами) (далі – Положення)</w:t>
      </w:r>
      <w:r w:rsidRPr="00763719">
        <w:rPr>
          <w:rFonts w:eastAsia="Calibri" w:cs="Times New Roman"/>
          <w:spacing w:val="-2"/>
          <w:sz w:val="27"/>
          <w:szCs w:val="27"/>
          <w:shd w:val="clear" w:color="auto" w:fill="FFFFFF"/>
        </w:rPr>
        <w:t xml:space="preserve">, </w:t>
      </w:r>
      <w:r w:rsidRPr="00763719">
        <w:rPr>
          <w:rFonts w:eastAsia="Times New Roman" w:cs="Times New Roman"/>
          <w:spacing w:val="-2"/>
          <w:sz w:val="27"/>
          <w:szCs w:val="27"/>
          <w:lang w:eastAsia="ru-RU"/>
        </w:rPr>
        <w:t xml:space="preserve">дисциплінарна скарга повинна містити </w:t>
      </w:r>
      <w:r w:rsidRPr="00763719">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763719">
        <w:rPr>
          <w:rFonts w:eastAsia="Times New Roman" w:cs="Times New Roman"/>
          <w:spacing w:val="-2"/>
          <w:sz w:val="27"/>
          <w:szCs w:val="27"/>
          <w:lang w:eastAsia="ru-RU"/>
        </w:rPr>
        <w:t xml:space="preserve"> конкретні відомості про наявність ознак </w:t>
      </w:r>
      <w:r w:rsidR="007B6DC3" w:rsidRPr="00763719">
        <w:rPr>
          <w:rFonts w:eastAsia="Times New Roman" w:cs="Times New Roman"/>
          <w:spacing w:val="-2"/>
          <w:sz w:val="27"/>
          <w:szCs w:val="27"/>
          <w:lang w:eastAsia="ru-RU"/>
        </w:rPr>
        <w:t>останнього</w:t>
      </w:r>
      <w:r w:rsidRPr="00763719">
        <w:rPr>
          <w:rFonts w:eastAsia="Calibri" w:cs="Times New Roman"/>
          <w:spacing w:val="-2"/>
          <w:sz w:val="27"/>
          <w:szCs w:val="27"/>
          <w:shd w:val="clear" w:color="auto" w:fill="FFFFFF"/>
        </w:rPr>
        <w:t>.</w:t>
      </w:r>
    </w:p>
    <w:p w14:paraId="12BFDE31" w14:textId="2F8923D2"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763719">
        <w:rPr>
          <w:rFonts w:eastAsia="Calibri" w:cs="Times New Roman"/>
          <w:bCs/>
          <w:sz w:val="27"/>
          <w:szCs w:val="27"/>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0771A9E"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Відповідно до ч. 2 ст. 46 </w:t>
      </w:r>
      <w:bookmarkStart w:id="4" w:name="_Hlk154052656"/>
      <w:r w:rsidRPr="00763719">
        <w:rPr>
          <w:rFonts w:eastAsia="Calibri" w:cs="Times New Roman"/>
          <w:spacing w:val="-2"/>
          <w:sz w:val="27"/>
          <w:szCs w:val="27"/>
          <w:shd w:val="clear" w:color="auto" w:fill="FFFFFF"/>
        </w:rPr>
        <w:t xml:space="preserve">Закону № 1697-VII </w:t>
      </w:r>
      <w:bookmarkEnd w:id="4"/>
      <w:r w:rsidRPr="00763719">
        <w:rPr>
          <w:rFonts w:eastAsia="Calibri" w:cs="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w:t>
      </w:r>
      <w:r w:rsidR="00204F3B">
        <w:rPr>
          <w:rFonts w:eastAsia="Calibri" w:cs="Times New Roman"/>
          <w:spacing w:val="-2"/>
          <w:sz w:val="27"/>
          <w:szCs w:val="27"/>
          <w:shd w:val="clear" w:color="auto" w:fill="FFFFFF"/>
        </w:rPr>
        <w:t>унктами</w:t>
      </w:r>
      <w:r w:rsidRPr="00763719">
        <w:rPr>
          <w:rFonts w:eastAsia="Calibri" w:cs="Times New Roman"/>
          <w:spacing w:val="-2"/>
          <w:sz w:val="27"/>
          <w:szCs w:val="27"/>
          <w:shd w:val="clear" w:color="auto" w:fill="FFFFFF"/>
        </w:rPr>
        <w:t xml:space="preserve"> 1–5 ч. 2 ст. 46 цього Закону.</w:t>
      </w:r>
    </w:p>
    <w:p w14:paraId="6D5BB927" w14:textId="24451CFB" w:rsidR="00570EE3"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A758D26" w14:textId="77777777" w:rsidR="00204F3B" w:rsidRPr="00763719" w:rsidRDefault="00204F3B"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p>
    <w:p w14:paraId="72DAF0BF"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Times New Roman" w:cs="Times New Roman"/>
          <w:b/>
          <w:sz w:val="27"/>
          <w:szCs w:val="27"/>
          <w:lang w:eastAsia="ru-RU"/>
        </w:rPr>
      </w:pPr>
      <w:r w:rsidRPr="00763719">
        <w:rPr>
          <w:rFonts w:eastAsia="Times New Roman" w:cs="Times New Roman"/>
          <w:b/>
          <w:sz w:val="27"/>
          <w:szCs w:val="27"/>
          <w:lang w:eastAsia="ru-RU"/>
        </w:rPr>
        <w:t>Оцінка встановлених обставин та мотиви прийнятого рішення</w:t>
      </w:r>
    </w:p>
    <w:p w14:paraId="10EE7E12" w14:textId="4A431EA3" w:rsidR="00D83974" w:rsidRPr="00763719"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z w:val="27"/>
          <w:szCs w:val="27"/>
          <w:lang w:eastAsia="ru-RU"/>
        </w:rPr>
        <w:t>Д</w:t>
      </w:r>
      <w:r w:rsidRPr="00763719">
        <w:rPr>
          <w:rFonts w:eastAsia="Calibri" w:cs="Times New Roman"/>
          <w:spacing w:val="-2"/>
          <w:sz w:val="27"/>
          <w:szCs w:val="27"/>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763719">
        <w:rPr>
          <w:rFonts w:eastAsia="Calibri" w:cs="Times New Roman"/>
          <w:spacing w:val="-2"/>
          <w:sz w:val="27"/>
          <w:szCs w:val="27"/>
          <w:shd w:val="clear" w:color="auto" w:fill="FFFFFF"/>
        </w:rPr>
        <w:t xml:space="preserve">дія чи </w:t>
      </w:r>
      <w:r w:rsidRPr="00763719">
        <w:rPr>
          <w:rFonts w:eastAsia="Calibri" w:cs="Times New Roman"/>
          <w:spacing w:val="-2"/>
          <w:sz w:val="27"/>
          <w:szCs w:val="27"/>
          <w:shd w:val="clear" w:color="auto" w:fill="FFFFFF"/>
        </w:rPr>
        <w:t xml:space="preserve">бездіяльність), можливі шкідливі наслідки, причинний зв’язок між діянням і шкідливими наслідками (за </w:t>
      </w:r>
      <w:r w:rsidRPr="00763719">
        <w:rPr>
          <w:rFonts w:eastAsia="Calibri" w:cs="Times New Roman"/>
          <w:spacing w:val="-2"/>
          <w:sz w:val="27"/>
          <w:szCs w:val="27"/>
          <w:shd w:val="clear" w:color="auto" w:fill="FFFFFF"/>
        </w:rPr>
        <w:lastRenderedPageBreak/>
        <w:t>наявності останніх), а також час і місце діяння. Суб’єктивну сторону дисциплінарного проступку характеризує вина</w:t>
      </w:r>
      <w:r w:rsidR="008A41C5" w:rsidRPr="00763719">
        <w:rPr>
          <w:rFonts w:eastAsia="Calibri" w:cs="Times New Roman"/>
          <w:spacing w:val="-2"/>
          <w:sz w:val="27"/>
          <w:szCs w:val="27"/>
          <w:shd w:val="clear" w:color="auto" w:fill="FFFFFF"/>
        </w:rPr>
        <w:t xml:space="preserve">. </w:t>
      </w:r>
      <w:r w:rsidR="00A5100B" w:rsidRPr="00763719">
        <w:rPr>
          <w:rFonts w:eastAsia="Calibri" w:cs="Times New Roman"/>
          <w:spacing w:val="-2"/>
          <w:sz w:val="27"/>
          <w:szCs w:val="27"/>
          <w:shd w:val="clear" w:color="auto" w:fill="FFFFFF"/>
        </w:rPr>
        <w:t xml:space="preserve">Його </w:t>
      </w:r>
      <w:r w:rsidR="008A41C5" w:rsidRPr="00763719">
        <w:rPr>
          <w:rFonts w:eastAsia="Calibri" w:cs="Times New Roman"/>
          <w:spacing w:val="-2"/>
          <w:sz w:val="27"/>
          <w:szCs w:val="27"/>
          <w:shd w:val="clear" w:color="auto" w:fill="FFFFFF"/>
        </w:rPr>
        <w:t>суб’єктом є конкретно визначений прокурор</w:t>
      </w:r>
      <w:r w:rsidRPr="00763719">
        <w:rPr>
          <w:rFonts w:eastAsia="Calibri" w:cs="Times New Roman"/>
          <w:spacing w:val="-2"/>
          <w:sz w:val="27"/>
          <w:szCs w:val="27"/>
          <w:shd w:val="clear" w:color="auto" w:fill="FFFFFF"/>
        </w:rPr>
        <w:t xml:space="preserve">. </w:t>
      </w:r>
    </w:p>
    <w:p w14:paraId="329D52C3" w14:textId="47E7011B" w:rsidR="00570EE3" w:rsidRPr="00763719" w:rsidRDefault="00AF773C"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 xml:space="preserve">У </w:t>
      </w:r>
      <w:r w:rsidR="00570EE3" w:rsidRPr="00763719">
        <w:rPr>
          <w:rFonts w:eastAsia="Calibri" w:cs="Times New Roman"/>
          <w:sz w:val="27"/>
          <w:szCs w:val="27"/>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763719">
        <w:rPr>
          <w:rFonts w:eastAsia="Calibri" w:cs="Times New Roman"/>
          <w:sz w:val="27"/>
          <w:szCs w:val="27"/>
        </w:rPr>
        <w:t xml:space="preserve">вимог закону, встановлений рішенням </w:t>
      </w:r>
      <w:r w:rsidR="008A41C5" w:rsidRPr="00763719">
        <w:rPr>
          <w:rFonts w:eastAsia="Calibri" w:cs="Times New Roman"/>
          <w:sz w:val="27"/>
          <w:szCs w:val="27"/>
        </w:rPr>
        <w:t xml:space="preserve">уповноваженого суб’єкта </w:t>
      </w:r>
      <w:r w:rsidR="00570EE3" w:rsidRPr="00763719">
        <w:rPr>
          <w:rFonts w:eastAsia="Calibri" w:cs="Times New Roman"/>
          <w:sz w:val="27"/>
          <w:szCs w:val="27"/>
        </w:rPr>
        <w:t>за результатами розгляду скарги</w:t>
      </w:r>
      <w:r w:rsidR="00A5100B" w:rsidRPr="00763719">
        <w:rPr>
          <w:rFonts w:eastAsia="Calibri" w:cs="Times New Roman"/>
          <w:sz w:val="27"/>
          <w:szCs w:val="27"/>
        </w:rPr>
        <w:t xml:space="preserve"> на них</w:t>
      </w:r>
      <w:r w:rsidR="00570EE3" w:rsidRPr="00763719">
        <w:rPr>
          <w:rFonts w:eastAsia="Calibri" w:cs="Times New Roman"/>
          <w:sz w:val="27"/>
          <w:szCs w:val="27"/>
        </w:rPr>
        <w:t>, та/або відповідне звернення суду до органу, що здійснює дисциплінарне провадження, в передбаченому КПК України порядку.</w:t>
      </w:r>
    </w:p>
    <w:p w14:paraId="7B562676" w14:textId="77777777" w:rsidR="00450BC4" w:rsidRPr="00763719" w:rsidRDefault="00D83974" w:rsidP="00450BC4">
      <w:pPr>
        <w:widowControl w:val="0"/>
        <w:pBdr>
          <w:bottom w:val="single" w:sz="12" w:space="12" w:color="FFFFFF"/>
        </w:pBdr>
        <w:spacing w:after="0" w:line="240" w:lineRule="auto"/>
        <w:ind w:firstLine="709"/>
        <w:contextualSpacing/>
        <w:jc w:val="both"/>
        <w:rPr>
          <w:rFonts w:cs="Times New Roman"/>
          <w:sz w:val="27"/>
          <w:szCs w:val="27"/>
        </w:rPr>
      </w:pPr>
      <w:r w:rsidRPr="00763719">
        <w:rPr>
          <w:rFonts w:cs="Times New Roman"/>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6DD229F" w14:textId="034551DB" w:rsidR="00450BC4" w:rsidRPr="00450BC4" w:rsidRDefault="00450BC4"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450BC4">
        <w:rPr>
          <w:rFonts w:eastAsia="Calibri" w:cs="Times New Roman"/>
          <w:sz w:val="27"/>
          <w:szCs w:val="27"/>
        </w:rPr>
        <w:t>Водночас додані до скарги документи не містять відомостей про</w:t>
      </w:r>
      <w:r w:rsidRPr="00450BC4">
        <w:rPr>
          <w:rFonts w:eastAsia="Calibri" w:cs="Times New Roman"/>
          <w:sz w:val="27"/>
          <w:szCs w:val="27"/>
          <w:lang w:eastAsia="uk-UA"/>
        </w:rPr>
        <w:t xml:space="preserve"> наявність ознак ухилення прокурора </w:t>
      </w:r>
      <w:r w:rsidR="00204F3B">
        <w:rPr>
          <w:rFonts w:eastAsia="Calibri" w:cs="Times New Roman"/>
          <w:sz w:val="27"/>
          <w:szCs w:val="27"/>
          <w:lang w:eastAsia="uk-UA"/>
        </w:rPr>
        <w:t xml:space="preserve">Головіної Т.А. </w:t>
      </w:r>
      <w:r w:rsidRPr="00450BC4">
        <w:rPr>
          <w:rFonts w:eastAsia="Calibri" w:cs="Times New Roman"/>
          <w:sz w:val="27"/>
          <w:szCs w:val="27"/>
          <w:lang w:eastAsia="uk-UA"/>
        </w:rPr>
        <w:t xml:space="preserve">від вчинення конкретних дій у рамках виконання власних службових повноважень та </w:t>
      </w:r>
      <w:r w:rsidRPr="00450BC4">
        <w:rPr>
          <w:rFonts w:eastAsia="Calibri" w:cs="Times New Roman"/>
          <w:sz w:val="27"/>
          <w:szCs w:val="27"/>
        </w:rPr>
        <w:t xml:space="preserve">про неналежне виконання </w:t>
      </w:r>
      <w:r w:rsidR="00FC21F9">
        <w:rPr>
          <w:rFonts w:eastAsia="Calibri" w:cs="Times New Roman"/>
          <w:sz w:val="27"/>
          <w:szCs w:val="27"/>
        </w:rPr>
        <w:t>нею</w:t>
      </w:r>
      <w:r w:rsidRPr="00450BC4">
        <w:rPr>
          <w:rFonts w:eastAsia="Calibri" w:cs="Times New Roman"/>
          <w:sz w:val="27"/>
          <w:szCs w:val="27"/>
        </w:rPr>
        <w:t xml:space="preserve"> службових обов’язків під час здійснення процесуального керівництва у кримінальному провадженні. Судових рішень про визнання неправомірними </w:t>
      </w:r>
      <w:r w:rsidR="00204F3B">
        <w:rPr>
          <w:rFonts w:eastAsia="Calibri" w:cs="Times New Roman"/>
          <w:sz w:val="27"/>
          <w:szCs w:val="27"/>
        </w:rPr>
        <w:t>її</w:t>
      </w:r>
      <w:r w:rsidRPr="00450BC4">
        <w:rPr>
          <w:rFonts w:eastAsia="Calibri" w:cs="Times New Roman"/>
          <w:sz w:val="27"/>
          <w:szCs w:val="27"/>
        </w:rPr>
        <w:t xml:space="preserve"> дій до скарги не долучено.</w:t>
      </w:r>
      <w:r w:rsidR="00763719" w:rsidRPr="00763719">
        <w:rPr>
          <w:rFonts w:eastAsia="Calibri" w:cs="Times New Roman"/>
          <w:sz w:val="27"/>
          <w:szCs w:val="27"/>
        </w:rPr>
        <w:t xml:space="preserve"> Також відсутнє рішення </w:t>
      </w:r>
      <w:r w:rsidR="00982696" w:rsidRPr="00763719">
        <w:rPr>
          <w:rFonts w:eastAsia="Calibri" w:cs="Times New Roman"/>
          <w:sz w:val="27"/>
          <w:szCs w:val="27"/>
        </w:rPr>
        <w:t>вищо</w:t>
      </w:r>
      <w:r w:rsidR="00982696">
        <w:rPr>
          <w:rFonts w:eastAsia="Calibri" w:cs="Times New Roman"/>
          <w:sz w:val="27"/>
          <w:szCs w:val="27"/>
        </w:rPr>
        <w:t>го</w:t>
      </w:r>
      <w:r w:rsidR="00763719" w:rsidRPr="00763719">
        <w:rPr>
          <w:rFonts w:eastAsia="Calibri" w:cs="Times New Roman"/>
          <w:sz w:val="27"/>
          <w:szCs w:val="27"/>
        </w:rPr>
        <w:t xml:space="preserve"> прокурора з вказаного приводу. </w:t>
      </w:r>
    </w:p>
    <w:p w14:paraId="1B7E8BEC" w14:textId="5C9C1D28" w:rsidR="0095443B" w:rsidRPr="00763719" w:rsidRDefault="00E646E5" w:rsidP="0095443B">
      <w:pPr>
        <w:widowControl w:val="0"/>
        <w:pBdr>
          <w:bottom w:val="single" w:sz="12" w:space="12" w:color="FFFFFF"/>
        </w:pBdr>
        <w:spacing w:after="0" w:line="240" w:lineRule="auto"/>
        <w:ind w:firstLine="709"/>
        <w:contextualSpacing/>
        <w:jc w:val="both"/>
        <w:rPr>
          <w:rFonts w:eastAsia="Calibri" w:cs="Times New Roman"/>
          <w:sz w:val="27"/>
          <w:szCs w:val="27"/>
        </w:rPr>
      </w:pPr>
      <w:r w:rsidRPr="00E646E5">
        <w:rPr>
          <w:rFonts w:eastAsia="Calibri" w:cs="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не може свідчити про безумовну бездіяльність процесуального керівника</w:t>
      </w:r>
    </w:p>
    <w:p w14:paraId="408AA670" w14:textId="77777777" w:rsidR="00450BC4" w:rsidRPr="00763719" w:rsidRDefault="0095443B"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95443B">
        <w:rPr>
          <w:rFonts w:eastAsia="Calibri" w:cs="Times New Roman"/>
          <w:sz w:val="27"/>
          <w:szCs w:val="27"/>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
    <w:p w14:paraId="7D64FC4C" w14:textId="5750599C" w:rsidR="00450BC4" w:rsidRPr="00450BC4" w:rsidRDefault="00450BC4"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450BC4">
        <w:rPr>
          <w:rFonts w:eastAsia="Calibri" w:cs="Times New Roman"/>
          <w:sz w:val="27"/>
          <w:szCs w:val="27"/>
        </w:rPr>
        <w:t>Фактично оскаржуються процесуальні дії прокурора,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bookmarkEnd w:id="5"/>
    <w:p w14:paraId="0F754B63" w14:textId="33BF2C41" w:rsidR="00CA0EAF" w:rsidRPr="00763719" w:rsidRDefault="00090491" w:rsidP="00AC322B">
      <w:pPr>
        <w:widowControl w:val="0"/>
        <w:pBdr>
          <w:bottom w:val="single" w:sz="12" w:space="12" w:color="FFFFFF"/>
        </w:pBdr>
        <w:spacing w:after="0" w:line="240" w:lineRule="auto"/>
        <w:ind w:firstLine="708"/>
        <w:jc w:val="both"/>
        <w:rPr>
          <w:rFonts w:cs="Times New Roman"/>
          <w:sz w:val="27"/>
          <w:szCs w:val="27"/>
        </w:rPr>
      </w:pPr>
      <w:r w:rsidRPr="00763719">
        <w:rPr>
          <w:rFonts w:cs="Times New Roman"/>
          <w:sz w:val="27"/>
          <w:szCs w:val="27"/>
          <w:shd w:val="clear" w:color="auto" w:fill="FFFFFF"/>
        </w:rPr>
        <w:t xml:space="preserve">Таким чином, дисциплінарна скарга та </w:t>
      </w:r>
      <w:r w:rsidR="00CA0EAF" w:rsidRPr="00763719">
        <w:rPr>
          <w:rFonts w:cs="Times New Roman"/>
          <w:sz w:val="27"/>
          <w:szCs w:val="27"/>
        </w:rPr>
        <w:t xml:space="preserve">додатки до неї </w:t>
      </w:r>
      <w:r w:rsidR="00CA0EAF" w:rsidRPr="00763719">
        <w:rPr>
          <w:rFonts w:cs="Times New Roman"/>
          <w:sz w:val="27"/>
          <w:szCs w:val="27"/>
          <w:shd w:val="clear" w:color="auto" w:fill="FFFFFF"/>
        </w:rPr>
        <w:t xml:space="preserve">не містять матеріалів, які вказують на наявність </w:t>
      </w:r>
      <w:r w:rsidR="006E0937" w:rsidRPr="00763719">
        <w:rPr>
          <w:rFonts w:cs="Times New Roman"/>
          <w:sz w:val="27"/>
          <w:szCs w:val="27"/>
          <w:shd w:val="clear" w:color="auto" w:fill="FFFFFF"/>
        </w:rPr>
        <w:t xml:space="preserve">конкретних </w:t>
      </w:r>
      <w:r w:rsidR="00CA0EAF" w:rsidRPr="00763719">
        <w:rPr>
          <w:rFonts w:cs="Times New Roman"/>
          <w:sz w:val="27"/>
          <w:szCs w:val="27"/>
          <w:shd w:val="clear" w:color="auto" w:fill="FFFFFF"/>
        </w:rPr>
        <w:t>ознак неналежного виконання прокурор</w:t>
      </w:r>
      <w:r w:rsidR="00450BC4" w:rsidRPr="00763719">
        <w:rPr>
          <w:rFonts w:cs="Times New Roman"/>
          <w:sz w:val="27"/>
          <w:szCs w:val="27"/>
          <w:shd w:val="clear" w:color="auto" w:fill="FFFFFF"/>
        </w:rPr>
        <w:t>ом</w:t>
      </w:r>
      <w:r w:rsidR="00FB0987" w:rsidRPr="00763719">
        <w:rPr>
          <w:rFonts w:cs="Times New Roman"/>
          <w:sz w:val="27"/>
          <w:szCs w:val="27"/>
          <w:shd w:val="clear" w:color="auto" w:fill="FFFFFF"/>
        </w:rPr>
        <w:t xml:space="preserve"> </w:t>
      </w:r>
      <w:r w:rsidR="00204F3B">
        <w:rPr>
          <w:rFonts w:cs="Times New Roman"/>
          <w:sz w:val="27"/>
          <w:szCs w:val="27"/>
          <w:shd w:val="clear" w:color="auto" w:fill="FFFFFF"/>
        </w:rPr>
        <w:t>Головіною Т.А. с</w:t>
      </w:r>
      <w:r w:rsidR="00CA0EAF" w:rsidRPr="00763719">
        <w:rPr>
          <w:rFonts w:cs="Times New Roman"/>
          <w:sz w:val="27"/>
          <w:szCs w:val="27"/>
          <w:shd w:val="clear" w:color="auto" w:fill="FFFFFF"/>
        </w:rPr>
        <w:t xml:space="preserve">лужбових </w:t>
      </w:r>
      <w:r w:rsidR="00B4100D" w:rsidRPr="00763719">
        <w:rPr>
          <w:rFonts w:cs="Times New Roman"/>
          <w:sz w:val="27"/>
          <w:szCs w:val="27"/>
          <w:shd w:val="clear" w:color="auto" w:fill="FFFFFF"/>
        </w:rPr>
        <w:t>обов’язків</w:t>
      </w:r>
      <w:r w:rsidR="00204F3B">
        <w:rPr>
          <w:rFonts w:cs="Times New Roman"/>
          <w:sz w:val="27"/>
          <w:szCs w:val="27"/>
          <w:shd w:val="clear" w:color="auto" w:fill="FFFFFF"/>
        </w:rPr>
        <w:t>.</w:t>
      </w:r>
    </w:p>
    <w:p w14:paraId="326770C6" w14:textId="731B2EB1" w:rsidR="00BA1A94" w:rsidRPr="00763719" w:rsidRDefault="00BA1A94" w:rsidP="00AC322B">
      <w:pPr>
        <w:widowControl w:val="0"/>
        <w:pBdr>
          <w:bottom w:val="single" w:sz="12" w:space="12" w:color="FFFFFF"/>
        </w:pBdr>
        <w:spacing w:after="0" w:line="240" w:lineRule="auto"/>
        <w:ind w:firstLine="708"/>
        <w:jc w:val="both"/>
        <w:rPr>
          <w:rFonts w:eastAsia="Calibri" w:cs="Times New Roman"/>
          <w:sz w:val="27"/>
          <w:szCs w:val="27"/>
        </w:rPr>
      </w:pPr>
      <w:r w:rsidRPr="00763719">
        <w:rPr>
          <w:rFonts w:eastAsia="Calibri" w:cs="Times New Roman"/>
          <w:sz w:val="27"/>
          <w:szCs w:val="27"/>
        </w:rPr>
        <w:t>Як зазначено у рішенні Касаційного адміністративного суду у складі Верховного Суду від 21</w:t>
      </w:r>
      <w:r w:rsidR="00205EE7" w:rsidRPr="00763719">
        <w:rPr>
          <w:rFonts w:eastAsia="Calibri" w:cs="Times New Roman"/>
          <w:sz w:val="27"/>
          <w:szCs w:val="27"/>
        </w:rPr>
        <w:t>.06.</w:t>
      </w:r>
      <w:r w:rsidRPr="00763719">
        <w:rPr>
          <w:rFonts w:eastAsia="Calibri" w:cs="Times New Roman"/>
          <w:sz w:val="27"/>
          <w:szCs w:val="27"/>
        </w:rPr>
        <w:t xml:space="preserve">2018 у справі № 9901/486/18 Комісія не повинна вирішувати питання кримінального провадження, яке здійснюються в межах </w:t>
      </w:r>
      <w:r w:rsidRPr="00763719">
        <w:rPr>
          <w:rFonts w:eastAsia="Calibri" w:cs="Times New Roman"/>
          <w:sz w:val="27"/>
          <w:szCs w:val="27"/>
        </w:rPr>
        <w:lastRenderedPageBreak/>
        <w:t>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sidRPr="00763719">
        <w:rPr>
          <w:rFonts w:eastAsia="Calibri" w:cs="Times New Roman"/>
          <w:sz w:val="27"/>
          <w:szCs w:val="27"/>
        </w:rPr>
        <w:t xml:space="preserve"> </w:t>
      </w:r>
    </w:p>
    <w:p w14:paraId="030A0F7F" w14:textId="77777777" w:rsidR="0074583A" w:rsidRPr="00763719" w:rsidRDefault="0074583A" w:rsidP="0074583A">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FB2EBC" w14:textId="1561E573" w:rsidR="00205EE7" w:rsidRPr="00763719" w:rsidRDefault="00A53764" w:rsidP="00205EE7">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lang w:eastAsia="ru-RU"/>
        </w:rPr>
        <w:t xml:space="preserve">Враховуючи викладене вище, </w:t>
      </w:r>
      <w:r w:rsidR="00176357" w:rsidRPr="00763719">
        <w:rPr>
          <w:rFonts w:eastAsia="Calibri" w:cs="Times New Roman"/>
          <w:sz w:val="27"/>
          <w:szCs w:val="27"/>
          <w:lang w:eastAsia="ru-RU"/>
        </w:rPr>
        <w:t xml:space="preserve">за результатами </w:t>
      </w:r>
      <w:r w:rsidRPr="00763719">
        <w:rPr>
          <w:rFonts w:eastAsia="Calibri" w:cs="Times New Roman"/>
          <w:sz w:val="27"/>
          <w:szCs w:val="27"/>
          <w:lang w:eastAsia="ru-RU"/>
        </w:rPr>
        <w:t>вивч</w:t>
      </w:r>
      <w:r w:rsidR="00176357" w:rsidRPr="00763719">
        <w:rPr>
          <w:rFonts w:eastAsia="Calibri" w:cs="Times New Roman"/>
          <w:sz w:val="27"/>
          <w:szCs w:val="27"/>
          <w:lang w:eastAsia="ru-RU"/>
        </w:rPr>
        <w:t>ення</w:t>
      </w:r>
      <w:r w:rsidRPr="00763719">
        <w:rPr>
          <w:rFonts w:eastAsia="Calibri" w:cs="Times New Roman"/>
          <w:sz w:val="27"/>
          <w:szCs w:val="27"/>
          <w:lang w:eastAsia="ru-RU"/>
        </w:rPr>
        <w:t xml:space="preserve"> довод</w:t>
      </w:r>
      <w:r w:rsidR="00176357" w:rsidRPr="00763719">
        <w:rPr>
          <w:rFonts w:eastAsia="Calibri" w:cs="Times New Roman"/>
          <w:sz w:val="27"/>
          <w:szCs w:val="27"/>
          <w:lang w:eastAsia="ru-RU"/>
        </w:rPr>
        <w:t>ів</w:t>
      </w:r>
      <w:r w:rsidRPr="00763719">
        <w:rPr>
          <w:rFonts w:eastAsia="Calibri" w:cs="Times New Roman"/>
          <w:sz w:val="27"/>
          <w:szCs w:val="27"/>
          <w:lang w:eastAsia="ru-RU"/>
        </w:rPr>
        <w:t>, наведен</w:t>
      </w:r>
      <w:r w:rsidR="00176357" w:rsidRPr="00763719">
        <w:rPr>
          <w:rFonts w:eastAsia="Calibri" w:cs="Times New Roman"/>
          <w:sz w:val="27"/>
          <w:szCs w:val="27"/>
          <w:lang w:eastAsia="ru-RU"/>
        </w:rPr>
        <w:t>их</w:t>
      </w:r>
      <w:r w:rsidRPr="00763719">
        <w:rPr>
          <w:rFonts w:eastAsia="Calibri" w:cs="Times New Roman"/>
          <w:sz w:val="27"/>
          <w:szCs w:val="27"/>
          <w:lang w:eastAsia="ru-RU"/>
        </w:rPr>
        <w:t xml:space="preserve"> скаржни</w:t>
      </w:r>
      <w:r w:rsidR="006E0937" w:rsidRPr="00763719">
        <w:rPr>
          <w:rFonts w:eastAsia="Calibri" w:cs="Times New Roman"/>
          <w:sz w:val="27"/>
          <w:szCs w:val="27"/>
          <w:lang w:eastAsia="ru-RU"/>
        </w:rPr>
        <w:t>ком</w:t>
      </w:r>
      <w:r w:rsidRPr="00763719">
        <w:rPr>
          <w:rFonts w:eastAsia="Calibri" w:cs="Times New Roman"/>
          <w:sz w:val="27"/>
          <w:szCs w:val="27"/>
          <w:lang w:eastAsia="ru-RU"/>
        </w:rPr>
        <w:t xml:space="preserve">, а також </w:t>
      </w:r>
      <w:r w:rsidR="00BA08CC" w:rsidRPr="00763719">
        <w:rPr>
          <w:rFonts w:eastAsia="Calibri" w:cs="Times New Roman"/>
          <w:sz w:val="27"/>
          <w:szCs w:val="27"/>
          <w:lang w:eastAsia="ru-RU"/>
        </w:rPr>
        <w:t xml:space="preserve"> опрацюванням </w:t>
      </w:r>
      <w:r w:rsidRPr="00763719">
        <w:rPr>
          <w:rFonts w:eastAsia="Calibri" w:cs="Times New Roman"/>
          <w:sz w:val="27"/>
          <w:szCs w:val="27"/>
          <w:lang w:eastAsia="ru-RU"/>
        </w:rPr>
        <w:t>долучен</w:t>
      </w:r>
      <w:r w:rsidR="00176357" w:rsidRPr="00763719">
        <w:rPr>
          <w:rFonts w:eastAsia="Calibri" w:cs="Times New Roman"/>
          <w:sz w:val="27"/>
          <w:szCs w:val="27"/>
          <w:lang w:eastAsia="ru-RU"/>
        </w:rPr>
        <w:t>их</w:t>
      </w:r>
      <w:r w:rsidRPr="00763719">
        <w:rPr>
          <w:rFonts w:eastAsia="Calibri" w:cs="Times New Roman"/>
          <w:sz w:val="27"/>
          <w:szCs w:val="27"/>
          <w:lang w:eastAsia="ru-RU"/>
        </w:rPr>
        <w:t xml:space="preserve"> до дисциплінарної скарги матеріал</w:t>
      </w:r>
      <w:r w:rsidR="00176357" w:rsidRPr="00763719">
        <w:rPr>
          <w:rFonts w:eastAsia="Calibri" w:cs="Times New Roman"/>
          <w:sz w:val="27"/>
          <w:szCs w:val="27"/>
          <w:lang w:eastAsia="ru-RU"/>
        </w:rPr>
        <w:t>ів</w:t>
      </w:r>
      <w:r w:rsidRPr="00763719">
        <w:rPr>
          <w:rFonts w:eastAsia="Calibri" w:cs="Times New Roman"/>
          <w:sz w:val="27"/>
          <w:szCs w:val="27"/>
          <w:lang w:eastAsia="ru-RU"/>
        </w:rPr>
        <w:t xml:space="preserve">, мною встановлено, що </w:t>
      </w:r>
      <w:r w:rsidR="00EA6191" w:rsidRPr="00763719">
        <w:rPr>
          <w:rFonts w:eastAsia="Calibri" w:cs="Times New Roman"/>
          <w:sz w:val="27"/>
          <w:szCs w:val="27"/>
          <w:shd w:val="clear" w:color="auto" w:fill="FFFFFF"/>
        </w:rPr>
        <w:t xml:space="preserve">твердження </w:t>
      </w:r>
      <w:r w:rsidR="00570EE3" w:rsidRPr="00763719">
        <w:rPr>
          <w:rFonts w:eastAsia="Calibri" w:cs="Times New Roman"/>
          <w:sz w:val="27"/>
          <w:szCs w:val="27"/>
          <w:shd w:val="clear" w:color="auto" w:fill="FFFFFF"/>
        </w:rPr>
        <w:t>скаржни</w:t>
      </w:r>
      <w:r w:rsidR="009E2E52" w:rsidRPr="00763719">
        <w:rPr>
          <w:rFonts w:eastAsia="Calibri" w:cs="Times New Roman"/>
          <w:sz w:val="27"/>
          <w:szCs w:val="27"/>
          <w:shd w:val="clear" w:color="auto" w:fill="FFFFFF"/>
        </w:rPr>
        <w:t>ка</w:t>
      </w:r>
      <w:r w:rsidR="00570EE3" w:rsidRPr="00763719">
        <w:rPr>
          <w:rFonts w:eastAsia="Calibri" w:cs="Times New Roman"/>
          <w:sz w:val="27"/>
          <w:szCs w:val="27"/>
          <w:shd w:val="clear" w:color="auto" w:fill="FFFFFF"/>
        </w:rPr>
        <w:t xml:space="preserve"> про вчинення прокурор</w:t>
      </w:r>
      <w:r w:rsidR="00205EE7" w:rsidRPr="00763719">
        <w:rPr>
          <w:rFonts w:eastAsia="Calibri" w:cs="Times New Roman"/>
          <w:sz w:val="27"/>
          <w:szCs w:val="27"/>
          <w:shd w:val="clear" w:color="auto" w:fill="FFFFFF"/>
        </w:rPr>
        <w:t xml:space="preserve">ом </w:t>
      </w:r>
      <w:r w:rsidR="00204F3B">
        <w:rPr>
          <w:rFonts w:eastAsia="Calibri" w:cs="Times New Roman"/>
          <w:sz w:val="27"/>
          <w:szCs w:val="27"/>
          <w:shd w:val="clear" w:color="auto" w:fill="FFFFFF"/>
        </w:rPr>
        <w:t xml:space="preserve">Головіною Т.А. </w:t>
      </w:r>
      <w:r w:rsidR="00570EE3" w:rsidRPr="00763719">
        <w:rPr>
          <w:rFonts w:eastAsia="Calibri" w:cs="Times New Roman"/>
          <w:sz w:val="27"/>
          <w:szCs w:val="27"/>
          <w:shd w:val="clear" w:color="auto" w:fill="FFFFFF"/>
        </w:rPr>
        <w:t>дисциплінарн</w:t>
      </w:r>
      <w:r w:rsidR="00204F3B">
        <w:rPr>
          <w:rFonts w:eastAsia="Calibri" w:cs="Times New Roman"/>
          <w:sz w:val="27"/>
          <w:szCs w:val="27"/>
          <w:shd w:val="clear" w:color="auto" w:fill="FFFFFF"/>
        </w:rPr>
        <w:t xml:space="preserve">ого </w:t>
      </w:r>
      <w:r w:rsidR="00570EE3" w:rsidRPr="00763719">
        <w:rPr>
          <w:rFonts w:eastAsia="Calibri" w:cs="Times New Roman"/>
          <w:sz w:val="27"/>
          <w:szCs w:val="27"/>
          <w:shd w:val="clear" w:color="auto" w:fill="FFFFFF"/>
        </w:rPr>
        <w:t>проступк</w:t>
      </w:r>
      <w:r w:rsidR="00204F3B">
        <w:rPr>
          <w:rFonts w:eastAsia="Calibri" w:cs="Times New Roman"/>
          <w:sz w:val="27"/>
          <w:szCs w:val="27"/>
          <w:shd w:val="clear" w:color="auto" w:fill="FFFFFF"/>
        </w:rPr>
        <w:t>у</w:t>
      </w:r>
      <w:r w:rsidR="00570EE3" w:rsidRPr="00763719">
        <w:rPr>
          <w:rFonts w:eastAsia="Calibri" w:cs="Times New Roman"/>
          <w:sz w:val="27"/>
          <w:szCs w:val="27"/>
          <w:shd w:val="clear" w:color="auto" w:fill="FFFFFF"/>
        </w:rPr>
        <w:t xml:space="preserve"> є суб’єктивним. </w:t>
      </w:r>
    </w:p>
    <w:p w14:paraId="217013AB" w14:textId="52EDD450" w:rsidR="00205EE7" w:rsidRPr="00763719" w:rsidRDefault="00205EE7" w:rsidP="00205EE7">
      <w:pPr>
        <w:widowControl w:val="0"/>
        <w:pBdr>
          <w:bottom w:val="single" w:sz="12" w:space="12" w:color="FFFFFF"/>
        </w:pBdr>
        <w:spacing w:after="0" w:line="240" w:lineRule="auto"/>
        <w:ind w:firstLine="709"/>
        <w:contextualSpacing/>
        <w:jc w:val="both"/>
        <w:rPr>
          <w:rFonts w:eastAsia="Calibri" w:cs="Times New Roman"/>
          <w:sz w:val="27"/>
          <w:szCs w:val="27"/>
        </w:rPr>
      </w:pPr>
      <w:r w:rsidRPr="00205EE7">
        <w:rPr>
          <w:rFonts w:eastAsia="Calibri" w:cs="Times New Roman"/>
          <w:sz w:val="27"/>
          <w:szCs w:val="27"/>
        </w:rPr>
        <w:t xml:space="preserve">На підставі викладеного, </w:t>
      </w:r>
      <w:r w:rsidR="00982696">
        <w:rPr>
          <w:rFonts w:eastAsia="Calibri" w:cs="Times New Roman"/>
          <w:sz w:val="27"/>
          <w:szCs w:val="27"/>
        </w:rPr>
        <w:t xml:space="preserve">я </w:t>
      </w:r>
      <w:r w:rsidRPr="00205EE7">
        <w:rPr>
          <w:rFonts w:eastAsia="Calibri" w:cs="Times New Roman"/>
          <w:sz w:val="27"/>
          <w:szCs w:val="27"/>
        </w:rPr>
        <w:t xml:space="preserve">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r w:rsidR="00204F3B">
        <w:rPr>
          <w:rFonts w:eastAsia="Calibri" w:cs="Times New Roman"/>
          <w:sz w:val="27"/>
          <w:szCs w:val="27"/>
        </w:rPr>
        <w:t>Головіною Т.А.</w:t>
      </w:r>
    </w:p>
    <w:p w14:paraId="2B04604C" w14:textId="7CDBDD99" w:rsidR="00FF7C44" w:rsidRDefault="00205EE7" w:rsidP="00FF7C44">
      <w:pPr>
        <w:widowControl w:val="0"/>
        <w:pBdr>
          <w:bottom w:val="single" w:sz="12" w:space="12" w:color="FFFFFF"/>
        </w:pBdr>
        <w:spacing w:after="0" w:line="240" w:lineRule="auto"/>
        <w:ind w:firstLine="709"/>
        <w:contextualSpacing/>
        <w:jc w:val="both"/>
        <w:rPr>
          <w:rFonts w:eastAsia="Calibri" w:cs="Times New Roman"/>
          <w:sz w:val="27"/>
          <w:szCs w:val="27"/>
        </w:rPr>
      </w:pPr>
      <w:r w:rsidRPr="00205EE7">
        <w:rPr>
          <w:rFonts w:eastAsia="Calibri" w:cs="Times New Roman"/>
          <w:sz w:val="27"/>
          <w:szCs w:val="27"/>
        </w:rPr>
        <w:t>Керуючись ст</w:t>
      </w:r>
      <w:r w:rsidR="00982696">
        <w:rPr>
          <w:rFonts w:eastAsia="Calibri" w:cs="Times New Roman"/>
          <w:sz w:val="27"/>
          <w:szCs w:val="27"/>
        </w:rPr>
        <w:t>.ст.</w:t>
      </w:r>
      <w:r w:rsidRPr="00205EE7">
        <w:rPr>
          <w:rFonts w:eastAsia="Calibri" w:cs="Times New Roman"/>
          <w:sz w:val="27"/>
          <w:szCs w:val="27"/>
        </w:rPr>
        <w:t xml:space="preserve"> 44 – 46  Закону </w:t>
      </w:r>
      <w:r w:rsidR="00982696" w:rsidRPr="00763719">
        <w:rPr>
          <w:rFonts w:eastAsia="Calibri" w:cs="Times New Roman"/>
          <w:spacing w:val="-2"/>
          <w:sz w:val="27"/>
          <w:szCs w:val="27"/>
          <w:shd w:val="clear" w:color="auto" w:fill="FFFFFF"/>
        </w:rPr>
        <w:t xml:space="preserve">№ 1697-VII </w:t>
      </w:r>
      <w:r w:rsidRPr="00205EE7">
        <w:rPr>
          <w:rFonts w:eastAsia="Calibri" w:cs="Times New Roman"/>
          <w:sz w:val="27"/>
          <w:szCs w:val="27"/>
        </w:rPr>
        <w:t>п</w:t>
      </w:r>
      <w:r w:rsidR="00982696">
        <w:rPr>
          <w:rFonts w:eastAsia="Calibri" w:cs="Times New Roman"/>
          <w:sz w:val="27"/>
          <w:szCs w:val="27"/>
        </w:rPr>
        <w:t>.п.</w:t>
      </w:r>
      <w:r w:rsidRPr="00205EE7">
        <w:rPr>
          <w:rFonts w:eastAsia="Calibri" w:cs="Times New Roman"/>
          <w:sz w:val="27"/>
          <w:szCs w:val="27"/>
        </w:rPr>
        <w:t xml:space="preserve"> 28, 98 Положення про порядок роботи відповідного органу, що здійснює дисциплінарне провадження,</w:t>
      </w:r>
    </w:p>
    <w:p w14:paraId="6A1CF272" w14:textId="77777777" w:rsidR="00204F3B" w:rsidRDefault="00204F3B" w:rsidP="00FF7C44">
      <w:pPr>
        <w:widowControl w:val="0"/>
        <w:pBdr>
          <w:bottom w:val="single" w:sz="12" w:space="12" w:color="FFFFFF"/>
        </w:pBdr>
        <w:spacing w:after="0" w:line="240" w:lineRule="auto"/>
        <w:ind w:firstLine="709"/>
        <w:contextualSpacing/>
        <w:jc w:val="both"/>
        <w:rPr>
          <w:rFonts w:eastAsia="Calibri" w:cs="Times New Roman"/>
          <w:sz w:val="27"/>
          <w:szCs w:val="27"/>
        </w:rPr>
      </w:pPr>
    </w:p>
    <w:p w14:paraId="354A6630" w14:textId="5B5CF159" w:rsidR="00205EE7" w:rsidRPr="00205EE7" w:rsidRDefault="00FF7C44" w:rsidP="00FF7C44">
      <w:pPr>
        <w:widowControl w:val="0"/>
        <w:pBdr>
          <w:bottom w:val="single" w:sz="12" w:space="12" w:color="FFFFFF"/>
        </w:pBdr>
        <w:spacing w:after="0" w:line="240" w:lineRule="auto"/>
        <w:ind w:firstLine="709"/>
        <w:contextualSpacing/>
        <w:jc w:val="both"/>
        <w:rPr>
          <w:rFonts w:eastAsia="Calibri" w:cs="Times New Roman"/>
          <w:b/>
          <w:sz w:val="27"/>
          <w:szCs w:val="27"/>
        </w:rPr>
      </w:pPr>
      <w:r>
        <w:rPr>
          <w:rFonts w:eastAsia="Calibri" w:cs="Times New Roman"/>
          <w:sz w:val="27"/>
          <w:szCs w:val="27"/>
        </w:rPr>
        <w:t xml:space="preserve">                                                  </w:t>
      </w:r>
      <w:r w:rsidR="00205EE7" w:rsidRPr="00205EE7">
        <w:rPr>
          <w:rFonts w:eastAsia="Calibri" w:cs="Times New Roman"/>
          <w:b/>
          <w:sz w:val="27"/>
          <w:szCs w:val="27"/>
        </w:rPr>
        <w:t>В</w:t>
      </w:r>
      <w:r>
        <w:rPr>
          <w:rFonts w:eastAsia="Calibri" w:cs="Times New Roman"/>
          <w:b/>
          <w:sz w:val="27"/>
          <w:szCs w:val="27"/>
        </w:rPr>
        <w:t xml:space="preserve"> </w:t>
      </w:r>
      <w:r w:rsidR="00205EE7" w:rsidRPr="00205EE7">
        <w:rPr>
          <w:rFonts w:eastAsia="Calibri" w:cs="Times New Roman"/>
          <w:b/>
          <w:sz w:val="27"/>
          <w:szCs w:val="27"/>
        </w:rPr>
        <w:t>И</w:t>
      </w:r>
      <w:r>
        <w:rPr>
          <w:rFonts w:eastAsia="Calibri" w:cs="Times New Roman"/>
          <w:b/>
          <w:sz w:val="27"/>
          <w:szCs w:val="27"/>
        </w:rPr>
        <w:t xml:space="preserve"> </w:t>
      </w:r>
      <w:r w:rsidR="00205EE7" w:rsidRPr="00205EE7">
        <w:rPr>
          <w:rFonts w:eastAsia="Calibri" w:cs="Times New Roman"/>
          <w:b/>
          <w:sz w:val="27"/>
          <w:szCs w:val="27"/>
        </w:rPr>
        <w:t>Р</w:t>
      </w:r>
      <w:r>
        <w:rPr>
          <w:rFonts w:eastAsia="Calibri" w:cs="Times New Roman"/>
          <w:b/>
          <w:sz w:val="27"/>
          <w:szCs w:val="27"/>
        </w:rPr>
        <w:t xml:space="preserve"> </w:t>
      </w:r>
      <w:r w:rsidR="00205EE7" w:rsidRPr="00205EE7">
        <w:rPr>
          <w:rFonts w:eastAsia="Calibri" w:cs="Times New Roman"/>
          <w:b/>
          <w:sz w:val="27"/>
          <w:szCs w:val="27"/>
        </w:rPr>
        <w:t>І</w:t>
      </w:r>
      <w:r>
        <w:rPr>
          <w:rFonts w:eastAsia="Calibri" w:cs="Times New Roman"/>
          <w:b/>
          <w:sz w:val="27"/>
          <w:szCs w:val="27"/>
        </w:rPr>
        <w:t xml:space="preserve"> </w:t>
      </w:r>
      <w:r w:rsidR="00205EE7" w:rsidRPr="00205EE7">
        <w:rPr>
          <w:rFonts w:eastAsia="Calibri" w:cs="Times New Roman"/>
          <w:b/>
          <w:sz w:val="27"/>
          <w:szCs w:val="27"/>
        </w:rPr>
        <w:t>Ш</w:t>
      </w:r>
      <w:r>
        <w:rPr>
          <w:rFonts w:eastAsia="Calibri" w:cs="Times New Roman"/>
          <w:b/>
          <w:sz w:val="27"/>
          <w:szCs w:val="27"/>
        </w:rPr>
        <w:t xml:space="preserve"> </w:t>
      </w:r>
      <w:r w:rsidR="00205EE7" w:rsidRPr="00205EE7">
        <w:rPr>
          <w:rFonts w:eastAsia="Calibri" w:cs="Times New Roman"/>
          <w:b/>
          <w:sz w:val="27"/>
          <w:szCs w:val="27"/>
        </w:rPr>
        <w:t>И</w:t>
      </w:r>
      <w:r>
        <w:rPr>
          <w:rFonts w:eastAsia="Calibri" w:cs="Times New Roman"/>
          <w:b/>
          <w:sz w:val="27"/>
          <w:szCs w:val="27"/>
        </w:rPr>
        <w:t xml:space="preserve"> </w:t>
      </w:r>
      <w:r w:rsidR="00205EE7" w:rsidRPr="00205EE7">
        <w:rPr>
          <w:rFonts w:eastAsia="Calibri" w:cs="Times New Roman"/>
          <w:b/>
          <w:sz w:val="27"/>
          <w:szCs w:val="27"/>
        </w:rPr>
        <w:t>В:</w:t>
      </w:r>
    </w:p>
    <w:p w14:paraId="48F61342" w14:textId="28A27BBC" w:rsidR="00205EE7" w:rsidRPr="00205EE7" w:rsidRDefault="00205EE7" w:rsidP="00205EE7">
      <w:pPr>
        <w:spacing w:after="0" w:line="240" w:lineRule="auto"/>
        <w:ind w:firstLine="567"/>
        <w:jc w:val="both"/>
        <w:rPr>
          <w:rFonts w:eastAsia="Calibri" w:cs="Times New Roman"/>
          <w:sz w:val="27"/>
          <w:szCs w:val="27"/>
        </w:rPr>
      </w:pPr>
      <w:r w:rsidRPr="00205EE7">
        <w:rPr>
          <w:rFonts w:eastAsia="Calibri" w:cs="Times New Roman"/>
          <w:sz w:val="27"/>
          <w:szCs w:val="27"/>
        </w:rPr>
        <w:t xml:space="preserve">Відмовити у відкритті дисциплінарного провадження стосовно прокурора </w:t>
      </w:r>
      <w:r w:rsidR="00204F3B">
        <w:rPr>
          <w:rFonts w:eastAsia="Calibri" w:cs="Times New Roman"/>
          <w:sz w:val="27"/>
          <w:szCs w:val="27"/>
        </w:rPr>
        <w:t>Кропивницької окружної прокуратури Кіровоградської області Головіної Тетяни Анатоліївни.</w:t>
      </w:r>
    </w:p>
    <w:p w14:paraId="0E761D5A" w14:textId="69F2D5F6" w:rsidR="00570EE3" w:rsidRPr="00763719"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 w:val="27"/>
          <w:szCs w:val="27"/>
          <w:lang w:eastAsia="ru-RU"/>
        </w:rPr>
      </w:pPr>
      <w:r w:rsidRPr="00763719">
        <w:rPr>
          <w:rFonts w:eastAsia="Times New Roman" w:cs="Times New Roman"/>
          <w:spacing w:val="-2"/>
          <w:sz w:val="27"/>
          <w:szCs w:val="27"/>
          <w:lang w:eastAsia="ru-RU"/>
        </w:rPr>
        <w:t>Рішення направити особі, яка подала дисциплінарну скаргу, та прокурор</w:t>
      </w:r>
      <w:r w:rsidR="00204F3B">
        <w:rPr>
          <w:rFonts w:eastAsia="Times New Roman" w:cs="Times New Roman"/>
          <w:spacing w:val="-2"/>
          <w:sz w:val="27"/>
          <w:szCs w:val="27"/>
          <w:lang w:eastAsia="ru-RU"/>
        </w:rPr>
        <w:t>у</w:t>
      </w:r>
      <w:r w:rsidR="00A91242" w:rsidRPr="00763719">
        <w:rPr>
          <w:rFonts w:eastAsia="Times New Roman" w:cs="Times New Roman"/>
          <w:spacing w:val="-2"/>
          <w:sz w:val="27"/>
          <w:szCs w:val="27"/>
          <w:lang w:eastAsia="ru-RU"/>
        </w:rPr>
        <w:t xml:space="preserve"> стосовно як</w:t>
      </w:r>
      <w:r w:rsidR="00204F3B">
        <w:rPr>
          <w:rFonts w:eastAsia="Times New Roman" w:cs="Times New Roman"/>
          <w:spacing w:val="-2"/>
          <w:sz w:val="27"/>
          <w:szCs w:val="27"/>
          <w:lang w:eastAsia="ru-RU"/>
        </w:rPr>
        <w:t>ого</w:t>
      </w:r>
      <w:r w:rsidR="00A91242" w:rsidRPr="00763719">
        <w:rPr>
          <w:rFonts w:eastAsia="Times New Roman" w:cs="Times New Roman"/>
          <w:spacing w:val="-2"/>
          <w:sz w:val="27"/>
          <w:szCs w:val="27"/>
          <w:lang w:eastAsia="ru-RU"/>
        </w:rPr>
        <w:t xml:space="preserve"> його прийнято. </w:t>
      </w:r>
      <w:r w:rsidR="00C549EB" w:rsidRPr="00763719">
        <w:rPr>
          <w:rFonts w:eastAsia="Times New Roman" w:cs="Times New Roman"/>
          <w:spacing w:val="-2"/>
          <w:sz w:val="27"/>
          <w:szCs w:val="27"/>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C478E"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0F656A11" w14:textId="60F00AF9" w:rsidR="00664A1D"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w:t>
      </w:r>
      <w:r w:rsidR="00204F3B">
        <w:rPr>
          <w:rFonts w:eastAsia="Times New Roman" w:cs="Times New Roman"/>
          <w:b/>
          <w:spacing w:val="-2"/>
          <w:szCs w:val="28"/>
          <w:lang w:eastAsia="ru-RU"/>
        </w:rPr>
        <w:t xml:space="preserve">      Олег БУЛУЛУКОВ</w:t>
      </w:r>
    </w:p>
    <w:p w14:paraId="7D075ECD" w14:textId="77777777" w:rsidR="00A91242" w:rsidRPr="006F2022" w:rsidRDefault="00A91242" w:rsidP="00F21EE4">
      <w:pPr>
        <w:pBdr>
          <w:bottom w:val="single" w:sz="12" w:space="12" w:color="FFFFFF"/>
        </w:pBdr>
        <w:spacing w:after="0" w:line="240" w:lineRule="auto"/>
        <w:jc w:val="both"/>
      </w:pPr>
    </w:p>
    <w:sectPr w:rsidR="00A91242" w:rsidRPr="006F2022" w:rsidSect="00491778">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E201" w14:textId="77777777" w:rsidR="008253FF" w:rsidRDefault="008253FF">
      <w:pPr>
        <w:spacing w:after="0" w:line="240" w:lineRule="auto"/>
      </w:pPr>
      <w:r>
        <w:separator/>
      </w:r>
    </w:p>
  </w:endnote>
  <w:endnote w:type="continuationSeparator" w:id="0">
    <w:p w14:paraId="29B155F4" w14:textId="77777777" w:rsidR="008253FF" w:rsidRDefault="0082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8253FF">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8253FF">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8253FF">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FF3C" w14:textId="77777777" w:rsidR="008253FF" w:rsidRDefault="008253FF">
      <w:pPr>
        <w:spacing w:after="0" w:line="240" w:lineRule="auto"/>
      </w:pPr>
      <w:r>
        <w:separator/>
      </w:r>
    </w:p>
  </w:footnote>
  <w:footnote w:type="continuationSeparator" w:id="0">
    <w:p w14:paraId="5A01483D" w14:textId="77777777" w:rsidR="008253FF" w:rsidRDefault="0082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8253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8253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8253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B0695"/>
    <w:rsid w:val="000C04B9"/>
    <w:rsid w:val="000C17F9"/>
    <w:rsid w:val="000C20F9"/>
    <w:rsid w:val="000C3030"/>
    <w:rsid w:val="000C4171"/>
    <w:rsid w:val="000C5845"/>
    <w:rsid w:val="000D59F2"/>
    <w:rsid w:val="000E451A"/>
    <w:rsid w:val="000F5CAD"/>
    <w:rsid w:val="00100C6A"/>
    <w:rsid w:val="00112020"/>
    <w:rsid w:val="00130790"/>
    <w:rsid w:val="001455C6"/>
    <w:rsid w:val="00155111"/>
    <w:rsid w:val="001560B5"/>
    <w:rsid w:val="00156A0B"/>
    <w:rsid w:val="00157F52"/>
    <w:rsid w:val="0016033C"/>
    <w:rsid w:val="001648AE"/>
    <w:rsid w:val="00176357"/>
    <w:rsid w:val="001808D0"/>
    <w:rsid w:val="001922F8"/>
    <w:rsid w:val="001A2D2E"/>
    <w:rsid w:val="001B71D5"/>
    <w:rsid w:val="001C1F32"/>
    <w:rsid w:val="001C6BAA"/>
    <w:rsid w:val="001E0E8E"/>
    <w:rsid w:val="001E623C"/>
    <w:rsid w:val="001F4B7D"/>
    <w:rsid w:val="00200471"/>
    <w:rsid w:val="002014A2"/>
    <w:rsid w:val="00204F3B"/>
    <w:rsid w:val="00205EE7"/>
    <w:rsid w:val="0022125E"/>
    <w:rsid w:val="00223585"/>
    <w:rsid w:val="00224348"/>
    <w:rsid w:val="00230E8D"/>
    <w:rsid w:val="002320B7"/>
    <w:rsid w:val="002340FC"/>
    <w:rsid w:val="00237540"/>
    <w:rsid w:val="00260F74"/>
    <w:rsid w:val="00266C13"/>
    <w:rsid w:val="00276DC9"/>
    <w:rsid w:val="002A1108"/>
    <w:rsid w:val="002A63E4"/>
    <w:rsid w:val="002B4422"/>
    <w:rsid w:val="002B4549"/>
    <w:rsid w:val="002B5D57"/>
    <w:rsid w:val="002B6072"/>
    <w:rsid w:val="002B7285"/>
    <w:rsid w:val="002D4B3F"/>
    <w:rsid w:val="002D6CD6"/>
    <w:rsid w:val="002F0FF5"/>
    <w:rsid w:val="002F51D2"/>
    <w:rsid w:val="00302F90"/>
    <w:rsid w:val="00303C27"/>
    <w:rsid w:val="00323D54"/>
    <w:rsid w:val="003275D2"/>
    <w:rsid w:val="00341C67"/>
    <w:rsid w:val="00363190"/>
    <w:rsid w:val="003819C3"/>
    <w:rsid w:val="00395484"/>
    <w:rsid w:val="00397C2D"/>
    <w:rsid w:val="00397EC0"/>
    <w:rsid w:val="003A0C22"/>
    <w:rsid w:val="003B0938"/>
    <w:rsid w:val="003B3F01"/>
    <w:rsid w:val="003C1E44"/>
    <w:rsid w:val="003D17C4"/>
    <w:rsid w:val="003F5D9B"/>
    <w:rsid w:val="004022FD"/>
    <w:rsid w:val="00404684"/>
    <w:rsid w:val="004064B8"/>
    <w:rsid w:val="00410EB9"/>
    <w:rsid w:val="004428E5"/>
    <w:rsid w:val="004474B4"/>
    <w:rsid w:val="00450BC4"/>
    <w:rsid w:val="0046387B"/>
    <w:rsid w:val="00487478"/>
    <w:rsid w:val="00491778"/>
    <w:rsid w:val="004B2B31"/>
    <w:rsid w:val="004B5292"/>
    <w:rsid w:val="004F2CD2"/>
    <w:rsid w:val="005140C5"/>
    <w:rsid w:val="00514DA3"/>
    <w:rsid w:val="00542ED4"/>
    <w:rsid w:val="005450E9"/>
    <w:rsid w:val="00546379"/>
    <w:rsid w:val="00570EE3"/>
    <w:rsid w:val="00584286"/>
    <w:rsid w:val="005A7B79"/>
    <w:rsid w:val="005B59C8"/>
    <w:rsid w:val="005B5CA3"/>
    <w:rsid w:val="005B6423"/>
    <w:rsid w:val="005C05D4"/>
    <w:rsid w:val="005C70C7"/>
    <w:rsid w:val="005E7488"/>
    <w:rsid w:val="005E7F2A"/>
    <w:rsid w:val="005F0069"/>
    <w:rsid w:val="005F3F64"/>
    <w:rsid w:val="005F5EC1"/>
    <w:rsid w:val="00602338"/>
    <w:rsid w:val="006054A4"/>
    <w:rsid w:val="00620398"/>
    <w:rsid w:val="00626846"/>
    <w:rsid w:val="00664A1D"/>
    <w:rsid w:val="00681225"/>
    <w:rsid w:val="00694694"/>
    <w:rsid w:val="00697A39"/>
    <w:rsid w:val="006A4BC9"/>
    <w:rsid w:val="006A529C"/>
    <w:rsid w:val="006A7B55"/>
    <w:rsid w:val="006B1A3E"/>
    <w:rsid w:val="006C478E"/>
    <w:rsid w:val="006E0937"/>
    <w:rsid w:val="006E3345"/>
    <w:rsid w:val="006F2022"/>
    <w:rsid w:val="006F6156"/>
    <w:rsid w:val="007222B0"/>
    <w:rsid w:val="00734EDF"/>
    <w:rsid w:val="00736286"/>
    <w:rsid w:val="0074583A"/>
    <w:rsid w:val="00746189"/>
    <w:rsid w:val="007475CD"/>
    <w:rsid w:val="007547A2"/>
    <w:rsid w:val="00763719"/>
    <w:rsid w:val="007762B7"/>
    <w:rsid w:val="0077667F"/>
    <w:rsid w:val="007832C5"/>
    <w:rsid w:val="007850AD"/>
    <w:rsid w:val="00786255"/>
    <w:rsid w:val="00790939"/>
    <w:rsid w:val="00791976"/>
    <w:rsid w:val="007A3D74"/>
    <w:rsid w:val="007B1ADD"/>
    <w:rsid w:val="007B6DC3"/>
    <w:rsid w:val="007D76F3"/>
    <w:rsid w:val="007E2E84"/>
    <w:rsid w:val="007E4227"/>
    <w:rsid w:val="00803190"/>
    <w:rsid w:val="008119AB"/>
    <w:rsid w:val="00813D7A"/>
    <w:rsid w:val="00821267"/>
    <w:rsid w:val="008253FF"/>
    <w:rsid w:val="00834008"/>
    <w:rsid w:val="00842B5F"/>
    <w:rsid w:val="00850CAC"/>
    <w:rsid w:val="00864777"/>
    <w:rsid w:val="008758F7"/>
    <w:rsid w:val="008A0CE3"/>
    <w:rsid w:val="008A41C5"/>
    <w:rsid w:val="008A739B"/>
    <w:rsid w:val="008B6CA5"/>
    <w:rsid w:val="008D4000"/>
    <w:rsid w:val="008F0959"/>
    <w:rsid w:val="00925690"/>
    <w:rsid w:val="00946A6F"/>
    <w:rsid w:val="0095443B"/>
    <w:rsid w:val="00963B9F"/>
    <w:rsid w:val="00966FAF"/>
    <w:rsid w:val="00982696"/>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E2CA0"/>
    <w:rsid w:val="00AF6564"/>
    <w:rsid w:val="00AF773C"/>
    <w:rsid w:val="00B04184"/>
    <w:rsid w:val="00B07A1A"/>
    <w:rsid w:val="00B20C58"/>
    <w:rsid w:val="00B22164"/>
    <w:rsid w:val="00B37306"/>
    <w:rsid w:val="00B4100D"/>
    <w:rsid w:val="00B844C4"/>
    <w:rsid w:val="00B94843"/>
    <w:rsid w:val="00BA08CC"/>
    <w:rsid w:val="00BA1A94"/>
    <w:rsid w:val="00BB1553"/>
    <w:rsid w:val="00BB4617"/>
    <w:rsid w:val="00BC7ADD"/>
    <w:rsid w:val="00BD120D"/>
    <w:rsid w:val="00BD5A23"/>
    <w:rsid w:val="00BE679D"/>
    <w:rsid w:val="00BF1414"/>
    <w:rsid w:val="00BF743F"/>
    <w:rsid w:val="00C12885"/>
    <w:rsid w:val="00C13D6B"/>
    <w:rsid w:val="00C549EB"/>
    <w:rsid w:val="00C83A93"/>
    <w:rsid w:val="00C91613"/>
    <w:rsid w:val="00CA0EAF"/>
    <w:rsid w:val="00CA3C11"/>
    <w:rsid w:val="00CB7ADE"/>
    <w:rsid w:val="00CD596B"/>
    <w:rsid w:val="00CE1781"/>
    <w:rsid w:val="00D057BD"/>
    <w:rsid w:val="00D05B6A"/>
    <w:rsid w:val="00D1167D"/>
    <w:rsid w:val="00D13D1E"/>
    <w:rsid w:val="00D3162A"/>
    <w:rsid w:val="00D34D5F"/>
    <w:rsid w:val="00D36117"/>
    <w:rsid w:val="00D538F7"/>
    <w:rsid w:val="00D55197"/>
    <w:rsid w:val="00D66BE8"/>
    <w:rsid w:val="00D80C62"/>
    <w:rsid w:val="00D82C7A"/>
    <w:rsid w:val="00D83974"/>
    <w:rsid w:val="00D853ED"/>
    <w:rsid w:val="00D95D7F"/>
    <w:rsid w:val="00DB1DFC"/>
    <w:rsid w:val="00DC1DDA"/>
    <w:rsid w:val="00DD4A5E"/>
    <w:rsid w:val="00DF75E0"/>
    <w:rsid w:val="00E00E9A"/>
    <w:rsid w:val="00E020D3"/>
    <w:rsid w:val="00E0705F"/>
    <w:rsid w:val="00E1278F"/>
    <w:rsid w:val="00E178E3"/>
    <w:rsid w:val="00E218D0"/>
    <w:rsid w:val="00E41681"/>
    <w:rsid w:val="00E45909"/>
    <w:rsid w:val="00E54327"/>
    <w:rsid w:val="00E646E5"/>
    <w:rsid w:val="00E71B7B"/>
    <w:rsid w:val="00E73848"/>
    <w:rsid w:val="00E87CEE"/>
    <w:rsid w:val="00EA507F"/>
    <w:rsid w:val="00EA6191"/>
    <w:rsid w:val="00EF787B"/>
    <w:rsid w:val="00F21DE8"/>
    <w:rsid w:val="00F21EE4"/>
    <w:rsid w:val="00F255FB"/>
    <w:rsid w:val="00F266B2"/>
    <w:rsid w:val="00F462A4"/>
    <w:rsid w:val="00F66D43"/>
    <w:rsid w:val="00F73C26"/>
    <w:rsid w:val="00F76173"/>
    <w:rsid w:val="00F91739"/>
    <w:rsid w:val="00FA3127"/>
    <w:rsid w:val="00FB0987"/>
    <w:rsid w:val="00FB4C7C"/>
    <w:rsid w:val="00FB640E"/>
    <w:rsid w:val="00FC21F9"/>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a7"/>
    <w:uiPriority w:val="99"/>
    <w:semiHidden/>
    <w:unhideWhenUsed/>
    <w:rsid w:val="00570EE3"/>
    <w:pPr>
      <w:tabs>
        <w:tab w:val="center" w:pos="4819"/>
        <w:tab w:val="right" w:pos="9639"/>
      </w:tabs>
      <w:spacing w:after="0" w:line="240" w:lineRule="auto"/>
    </w:pPr>
  </w:style>
  <w:style w:type="character" w:customStyle="1" w:styleId="a7">
    <w:name w:val="Нижний колонтитул Знак"/>
    <w:basedOn w:val="a0"/>
    <w:link w:val="a5"/>
    <w:uiPriority w:val="99"/>
    <w:semiHidden/>
    <w:rsid w:val="00570EE3"/>
  </w:style>
  <w:style w:type="character" w:styleId="a8">
    <w:name w:val="annotation reference"/>
    <w:basedOn w:val="a0"/>
    <w:uiPriority w:val="99"/>
    <w:semiHidden/>
    <w:unhideWhenUsed/>
    <w:rsid w:val="001808D0"/>
    <w:rPr>
      <w:sz w:val="16"/>
      <w:szCs w:val="16"/>
    </w:rPr>
  </w:style>
  <w:style w:type="paragraph" w:styleId="a9">
    <w:name w:val="annotation text"/>
    <w:basedOn w:val="a"/>
    <w:link w:val="aa"/>
    <w:uiPriority w:val="99"/>
    <w:semiHidden/>
    <w:unhideWhenUsed/>
    <w:rsid w:val="001808D0"/>
    <w:pPr>
      <w:spacing w:line="240" w:lineRule="auto"/>
    </w:pPr>
    <w:rPr>
      <w:sz w:val="20"/>
      <w:szCs w:val="20"/>
    </w:rPr>
  </w:style>
  <w:style w:type="character" w:customStyle="1" w:styleId="aa">
    <w:name w:val="Текст примечания Знак"/>
    <w:basedOn w:val="a0"/>
    <w:link w:val="a9"/>
    <w:uiPriority w:val="99"/>
    <w:semiHidden/>
    <w:rsid w:val="001808D0"/>
    <w:rPr>
      <w:sz w:val="20"/>
      <w:szCs w:val="20"/>
    </w:rPr>
  </w:style>
  <w:style w:type="paragraph" w:styleId="ab">
    <w:name w:val="annotation subject"/>
    <w:basedOn w:val="a9"/>
    <w:next w:val="a9"/>
    <w:link w:val="ac"/>
    <w:uiPriority w:val="99"/>
    <w:semiHidden/>
    <w:unhideWhenUsed/>
    <w:rsid w:val="001808D0"/>
    <w:rPr>
      <w:b/>
      <w:bCs/>
    </w:rPr>
  </w:style>
  <w:style w:type="character" w:customStyle="1" w:styleId="ac">
    <w:name w:val="Тема примечания Знак"/>
    <w:basedOn w:val="aa"/>
    <w:link w:val="ab"/>
    <w:uiPriority w:val="99"/>
    <w:semiHidden/>
    <w:rsid w:val="001808D0"/>
    <w:rPr>
      <w:b/>
      <w:bCs/>
      <w:sz w:val="20"/>
      <w:szCs w:val="20"/>
    </w:rPr>
  </w:style>
  <w:style w:type="character" w:styleId="ad">
    <w:name w:val="Hyperlink"/>
    <w:basedOn w:val="a0"/>
    <w:uiPriority w:val="99"/>
    <w:unhideWhenUsed/>
    <w:rsid w:val="00AC322B"/>
    <w:rPr>
      <w:color w:val="0563C1" w:themeColor="hyperlink"/>
      <w:u w:val="single"/>
    </w:rPr>
  </w:style>
  <w:style w:type="character" w:customStyle="1" w:styleId="10">
    <w:name w:val="Незакрита згадка1"/>
    <w:basedOn w:val="a0"/>
    <w:uiPriority w:val="99"/>
    <w:semiHidden/>
    <w:unhideWhenUsed/>
    <w:rsid w:val="00AC322B"/>
    <w:rPr>
      <w:color w:val="605E5C"/>
      <w:shd w:val="clear" w:color="auto" w:fill="E1DFDD"/>
    </w:rPr>
  </w:style>
  <w:style w:type="paragraph" w:styleId="ae">
    <w:name w:val="Normal (Web)"/>
    <w:basedOn w:val="a"/>
    <w:uiPriority w:val="99"/>
    <w:unhideWhenUsed/>
    <w:rsid w:val="004B2B31"/>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2440</Words>
  <Characters>13910</Characters>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2025-09-18T12:41:00Z</cp:lastPrinted>
  <dcterms:created xsi:type="dcterms:W3CDTF">2025-09-18T13:17:00Z</dcterms:created>
  <dcterms:modified xsi:type="dcterms:W3CDTF">2025-09-22T11:33:00Z</dcterms:modified>
</cp:coreProperties>
</file>