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119"/>
        <w:gridCol w:w="172"/>
        <w:gridCol w:w="3008"/>
        <w:gridCol w:w="19"/>
        <w:gridCol w:w="3038"/>
      </w:tblGrid>
      <w:tr w:rsidR="00A71C2B" w:rsidRPr="00A71C2B" w:rsidTr="00E07D93">
        <w:tc>
          <w:tcPr>
            <w:tcW w:w="3291" w:type="dxa"/>
            <w:gridSpan w:val="2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27" w:type="dxa"/>
            <w:gridSpan w:val="2"/>
            <w:shd w:val="clear" w:color="auto" w:fill="auto"/>
            <w:hideMark/>
          </w:tcPr>
          <w:p w:rsidR="00A71C2B" w:rsidRPr="00A71C2B" w:rsidRDefault="00A71C2B" w:rsidP="00A71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1C2B">
              <w:rPr>
                <w:rFonts w:ascii="Calibri" w:eastAsia="Calibri" w:hAnsi="Calibri" w:cs="Times New Roman"/>
                <w:noProof/>
                <w:sz w:val="19"/>
                <w:lang w:eastAsia="ru-RU"/>
              </w:rPr>
              <w:drawing>
                <wp:inline distT="0" distB="0" distL="0" distR="0" wp14:anchorId="2CFE3025" wp14:editId="2E89BDE7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1C2B" w:rsidRPr="00A71C2B" w:rsidTr="00E07D93">
        <w:tc>
          <w:tcPr>
            <w:tcW w:w="9356" w:type="dxa"/>
            <w:gridSpan w:val="5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1C2B" w:rsidRPr="00A71C2B" w:rsidTr="00E07D93">
        <w:tc>
          <w:tcPr>
            <w:tcW w:w="9356" w:type="dxa"/>
            <w:gridSpan w:val="5"/>
            <w:shd w:val="clear" w:color="auto" w:fill="auto"/>
            <w:hideMark/>
          </w:tcPr>
          <w:p w:rsidR="00A71C2B" w:rsidRPr="00A71C2B" w:rsidRDefault="00A71C2B" w:rsidP="00A71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8"/>
                <w:sz w:val="32"/>
                <w:szCs w:val="32"/>
                <w:lang w:val="uk-UA"/>
              </w:rPr>
            </w:pPr>
            <w:r w:rsidRPr="00A71C2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t>КВАЛІФІКАЦІЙНО-ДИСЦИПЛІНАРНА</w:t>
            </w:r>
            <w:r w:rsidRPr="00A71C2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br/>
              <w:t>КОМІСІЯ ПРОКУРОРІВ</w:t>
            </w:r>
          </w:p>
        </w:tc>
      </w:tr>
      <w:tr w:rsidR="00A71C2B" w:rsidRPr="00A71C2B" w:rsidTr="00E07D93">
        <w:tc>
          <w:tcPr>
            <w:tcW w:w="9356" w:type="dxa"/>
            <w:gridSpan w:val="5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1C2B" w:rsidRPr="00A71C2B" w:rsidTr="00E07D93">
        <w:tc>
          <w:tcPr>
            <w:tcW w:w="3119" w:type="dxa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gridSpan w:val="2"/>
            <w:shd w:val="clear" w:color="auto" w:fill="auto"/>
            <w:hideMark/>
          </w:tcPr>
          <w:p w:rsidR="00A71C2B" w:rsidRPr="00A71C2B" w:rsidRDefault="00A71C2B" w:rsidP="00A71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71C2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РІШЕННЯ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1C2B" w:rsidRPr="00A71C2B" w:rsidTr="00E07D93">
        <w:tc>
          <w:tcPr>
            <w:tcW w:w="3119" w:type="dxa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gridSpan w:val="2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057" w:type="dxa"/>
            <w:gridSpan w:val="2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1C2B" w:rsidRPr="00A71C2B" w:rsidTr="00E07D93">
        <w:tc>
          <w:tcPr>
            <w:tcW w:w="3119" w:type="dxa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gridSpan w:val="2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057" w:type="dxa"/>
            <w:gridSpan w:val="2"/>
            <w:shd w:val="clear" w:color="auto" w:fill="auto"/>
          </w:tcPr>
          <w:p w:rsidR="00A71C2B" w:rsidRPr="00A71C2B" w:rsidRDefault="00A71C2B" w:rsidP="00A71C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1C2B" w:rsidRPr="00A71C2B" w:rsidTr="00E07D93">
        <w:tc>
          <w:tcPr>
            <w:tcW w:w="3119" w:type="dxa"/>
            <w:shd w:val="clear" w:color="auto" w:fill="auto"/>
            <w:hideMark/>
          </w:tcPr>
          <w:p w:rsidR="00A71C2B" w:rsidRPr="00A71C2B" w:rsidRDefault="00A71C2B" w:rsidP="00A71C2B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71C2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27 червня 2025 року</w:t>
            </w:r>
          </w:p>
        </w:tc>
        <w:tc>
          <w:tcPr>
            <w:tcW w:w="3180" w:type="dxa"/>
            <w:gridSpan w:val="2"/>
            <w:shd w:val="clear" w:color="auto" w:fill="auto"/>
            <w:hideMark/>
          </w:tcPr>
          <w:p w:rsidR="00A71C2B" w:rsidRPr="00A71C2B" w:rsidRDefault="00A71C2B" w:rsidP="00A71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71C2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Київ</w:t>
            </w:r>
          </w:p>
        </w:tc>
        <w:tc>
          <w:tcPr>
            <w:tcW w:w="3057" w:type="dxa"/>
            <w:gridSpan w:val="2"/>
            <w:shd w:val="clear" w:color="auto" w:fill="auto"/>
            <w:hideMark/>
          </w:tcPr>
          <w:p w:rsidR="00A71C2B" w:rsidRPr="00A71C2B" w:rsidRDefault="00A71C2B" w:rsidP="00A71C2B">
            <w:pPr>
              <w:spacing w:after="0" w:line="240" w:lineRule="auto"/>
              <w:ind w:right="-111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71C2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№ 410дс-25</w:t>
            </w:r>
          </w:p>
        </w:tc>
      </w:tr>
    </w:tbl>
    <w:p w:rsidR="00A71C2B" w:rsidRDefault="00A71C2B" w:rsidP="00A71C2B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E32D59" w:rsidRPr="00A71C2B" w:rsidRDefault="00E32D59" w:rsidP="00A71C2B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A71C2B" w:rsidRPr="00A71C2B" w:rsidRDefault="00A71C2B" w:rsidP="00A71C2B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A71C2B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Про відмову у відкритті </w:t>
      </w:r>
    </w:p>
    <w:p w:rsidR="00A71C2B" w:rsidRDefault="00A71C2B" w:rsidP="00A71C2B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A71C2B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дисциплінарного провадження </w:t>
      </w:r>
    </w:p>
    <w:p w:rsidR="00E32D59" w:rsidRPr="00A71C2B" w:rsidRDefault="00E32D59" w:rsidP="00A71C2B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A71C2B" w:rsidRPr="00A71C2B" w:rsidRDefault="00A71C2B" w:rsidP="00A71C2B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</w:t>
      </w:r>
      <w:r w:rsidRPr="00A71C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Кваліфікаційно-дисциплінарної комісії прокурорів</w:t>
      </w:r>
      <w:r w:rsidRPr="00A71C2B">
        <w:rPr>
          <w:rFonts w:ascii="Calibri" w:eastAsia="Calibri" w:hAnsi="Calibri" w:cs="Times New Roman"/>
          <w:b/>
          <w:bCs/>
          <w:szCs w:val="28"/>
          <w:lang w:val="uk-UA"/>
        </w:rPr>
        <w:t xml:space="preserve"> </w:t>
      </w:r>
      <w:r w:rsidRPr="00A71C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Гарбуза Н.В.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розглянувши дисциплінарну </w:t>
      </w:r>
      <w:bookmarkStart w:id="0" w:name="_Hlk124933696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скаргу </w:t>
      </w:r>
      <w:bookmarkStart w:id="1" w:name="_Hlk126658932"/>
      <w:bookmarkEnd w:id="0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адвоката 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, подану в інтересах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ОСОБА 2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1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прокурора третього відділу управління процесуального керівництва, підтримання публічного обвинувачення та представництва в суді Спеціалізованої антикорупційної прокуратури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Касьяна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Андрія Олексійовича (далі – прокурор,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А.О.),</w:t>
      </w: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A71C2B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В С Т А Н О В И Л А:</w:t>
      </w: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Кваліфікаційно-дисциплінарної комісії прокурорів (далі – Комісія)  надійшла дисциплінарна скарга адвоката 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 – скаржник) про вчинення дисциплінарного проступку прокурором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Касьяном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</w:t>
      </w: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мені (протокол розподілу від 29 травня 2025 року).</w:t>
      </w: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C2B" w:rsidRDefault="00A71C2B" w:rsidP="004C543A">
      <w:pPr>
        <w:widowControl w:val="0"/>
        <w:tabs>
          <w:tab w:val="left" w:pos="993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Рух дисциплінарної скарги та виконання вимог частини другої статті</w:t>
      </w:r>
      <w:r w:rsidR="00E32D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 </w:t>
      </w: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8-1 Закону України «Про прокуратуру»</w:t>
      </w:r>
    </w:p>
    <w:p w:rsidR="004C543A" w:rsidRPr="00A71C2B" w:rsidRDefault="004C543A" w:rsidP="004C543A">
      <w:pPr>
        <w:widowControl w:val="0"/>
        <w:tabs>
          <w:tab w:val="left" w:pos="993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вимогами частини другої статті 8-1 Закону України «Про прокуратуру» від 14 жовтня 2014 року № 1697-VII (далі – Закон  № 1697- VII) після реєстрації скарги та визначення члена Комісії, дисциплінарну скаргу 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02 червня 2025 року листом управління організаційного забезпечення діяльності (Секретаріату) Комісії надіслано до підрозділу внутрішнього контролю Спеціалізованої антикорупційної прокуратури (далі  –  САП) для попереднього розгляду викладених у ній обставин.</w:t>
      </w: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17 червня 2025 року до управління організаційного забезпечення 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діяльності (Секретаріату) Комісії надійшов лист начальника відділу внутрішнього контролю САП 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ОСОБА 3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якому викладено результати попереднього розгляду обставин, зазначених у дисциплінарній скарзі, та пропозиції щодо відмови у відкритті дисциплінарного провадження стосовно прокурора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Касьяна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А.О., який разом із дисциплінарною скаргою та долученими до неї матеріалами 18.06.2025 передано мені.</w:t>
      </w: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Вирішуючи питання щодо відкриття дисциплінарного провадження, встановлено таке.</w:t>
      </w: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C2B" w:rsidRPr="00A71C2B" w:rsidRDefault="00A71C2B" w:rsidP="00E32D59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A71C2B" w:rsidRPr="00A71C2B" w:rsidRDefault="00A71C2B" w:rsidP="00A71C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1C2B">
        <w:rPr>
          <w:rFonts w:ascii="Times New Roman" w:hAnsi="Times New Roman"/>
          <w:sz w:val="28"/>
          <w:szCs w:val="28"/>
          <w:lang w:val="uk-UA"/>
        </w:rPr>
        <w:t>Згідно доводів скаржника п</w:t>
      </w:r>
      <w:proofErr w:type="spellStart"/>
      <w:r w:rsidRPr="00A71C2B">
        <w:rPr>
          <w:rFonts w:ascii="Times New Roman" w:hAnsi="Times New Roman"/>
          <w:sz w:val="28"/>
          <w:szCs w:val="28"/>
        </w:rPr>
        <w:t>рокурор</w:t>
      </w:r>
      <w:proofErr w:type="spellEnd"/>
      <w:r w:rsidRPr="00A71C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C2B">
        <w:rPr>
          <w:rFonts w:ascii="Times New Roman" w:hAnsi="Times New Roman"/>
          <w:sz w:val="28"/>
          <w:szCs w:val="28"/>
          <w:lang w:val="uk-UA"/>
        </w:rPr>
        <w:t>Касьян</w:t>
      </w:r>
      <w:proofErr w:type="spellEnd"/>
      <w:r w:rsidRPr="00A71C2B">
        <w:rPr>
          <w:rFonts w:ascii="Times New Roman" w:hAnsi="Times New Roman"/>
          <w:sz w:val="28"/>
          <w:szCs w:val="28"/>
          <w:lang w:val="uk-UA"/>
        </w:rPr>
        <w:t xml:space="preserve"> А.О.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71C2B">
        <w:rPr>
          <w:rFonts w:ascii="Times New Roman" w:hAnsi="Times New Roman"/>
          <w:sz w:val="28"/>
          <w:szCs w:val="28"/>
        </w:rPr>
        <w:t>вчини</w:t>
      </w:r>
      <w:r w:rsidRPr="00A71C2B">
        <w:rPr>
          <w:rFonts w:ascii="Times New Roman" w:hAnsi="Times New Roman"/>
          <w:sz w:val="28"/>
          <w:szCs w:val="28"/>
          <w:lang w:val="uk-UA"/>
        </w:rPr>
        <w:t>в</w:t>
      </w:r>
      <w:r w:rsidRPr="00A71C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C2B">
        <w:rPr>
          <w:rFonts w:ascii="Times New Roman" w:hAnsi="Times New Roman"/>
          <w:sz w:val="28"/>
          <w:szCs w:val="28"/>
        </w:rPr>
        <w:t>дисциплінарний</w:t>
      </w:r>
      <w:proofErr w:type="spellEnd"/>
      <w:r w:rsidRPr="00A71C2B">
        <w:rPr>
          <w:rFonts w:ascii="Times New Roman" w:hAnsi="Times New Roman"/>
          <w:sz w:val="28"/>
          <w:szCs w:val="28"/>
        </w:rPr>
        <w:t xml:space="preserve"> проступок, </w:t>
      </w:r>
      <w:proofErr w:type="spellStart"/>
      <w:r w:rsidRPr="00A71C2B">
        <w:rPr>
          <w:rFonts w:ascii="Times New Roman" w:hAnsi="Times New Roman"/>
          <w:sz w:val="28"/>
          <w:szCs w:val="28"/>
        </w:rPr>
        <w:t>передбачений</w:t>
      </w:r>
      <w:proofErr w:type="spellEnd"/>
      <w:r w:rsidRPr="00A71C2B">
        <w:rPr>
          <w:rFonts w:ascii="Times New Roman" w:hAnsi="Times New Roman"/>
          <w:sz w:val="28"/>
          <w:szCs w:val="28"/>
        </w:rPr>
        <w:t xml:space="preserve"> пункт</w:t>
      </w:r>
      <w:proofErr w:type="spellStart"/>
      <w:r w:rsidRPr="00A71C2B"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Pr="00A71C2B">
        <w:rPr>
          <w:rFonts w:ascii="Times New Roman" w:hAnsi="Times New Roman"/>
          <w:sz w:val="28"/>
          <w:szCs w:val="28"/>
        </w:rPr>
        <w:t> </w:t>
      </w:r>
      <w:r w:rsidRPr="00A71C2B">
        <w:rPr>
          <w:rFonts w:ascii="Times New Roman" w:hAnsi="Times New Roman"/>
          <w:sz w:val="28"/>
          <w:szCs w:val="28"/>
          <w:lang w:val="uk-UA"/>
        </w:rPr>
        <w:t>5</w:t>
      </w:r>
      <w:r w:rsidRPr="00A71C2B">
        <w:rPr>
          <w:rFonts w:ascii="Times New Roman" w:hAnsi="Times New Roman"/>
          <w:sz w:val="28"/>
          <w:szCs w:val="28"/>
        </w:rPr>
        <w:t xml:space="preserve"> (</w:t>
      </w:r>
      <w:r w:rsidRPr="00A71C2B">
        <w:rPr>
          <w:rFonts w:ascii="Times New Roman" w:hAnsi="Times New Roman"/>
          <w:sz w:val="28"/>
          <w:szCs w:val="28"/>
          <w:lang w:val="uk-UA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 органів прокуратури) </w:t>
      </w:r>
      <w:proofErr w:type="spellStart"/>
      <w:r w:rsidRPr="00A71C2B">
        <w:rPr>
          <w:rFonts w:ascii="Times New Roman" w:hAnsi="Times New Roman"/>
          <w:sz w:val="28"/>
          <w:szCs w:val="28"/>
        </w:rPr>
        <w:t>частини</w:t>
      </w:r>
      <w:proofErr w:type="spellEnd"/>
      <w:r w:rsidRPr="00A71C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C2B">
        <w:rPr>
          <w:rFonts w:ascii="Times New Roman" w:hAnsi="Times New Roman"/>
          <w:sz w:val="28"/>
          <w:szCs w:val="28"/>
        </w:rPr>
        <w:t>першої</w:t>
      </w:r>
      <w:proofErr w:type="spellEnd"/>
      <w:r w:rsidRPr="00A71C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C2B">
        <w:rPr>
          <w:rFonts w:ascii="Times New Roman" w:hAnsi="Times New Roman"/>
          <w:sz w:val="28"/>
          <w:szCs w:val="28"/>
        </w:rPr>
        <w:t>статті</w:t>
      </w:r>
      <w:proofErr w:type="spellEnd"/>
      <w:r w:rsidRPr="00A71C2B">
        <w:rPr>
          <w:rFonts w:ascii="Times New Roman" w:hAnsi="Times New Roman"/>
          <w:sz w:val="28"/>
          <w:szCs w:val="28"/>
        </w:rPr>
        <w:t xml:space="preserve"> 43 Закону 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№ 1697-VII</w:t>
      </w:r>
      <w:r w:rsidRPr="00A71C2B">
        <w:rPr>
          <w:rFonts w:ascii="Times New Roman" w:hAnsi="Times New Roman"/>
          <w:sz w:val="28"/>
          <w:szCs w:val="28"/>
        </w:rPr>
        <w:t xml:space="preserve"> за таких </w:t>
      </w:r>
      <w:proofErr w:type="spellStart"/>
      <w:r w:rsidRPr="00A71C2B">
        <w:rPr>
          <w:rFonts w:ascii="Times New Roman" w:hAnsi="Times New Roman"/>
          <w:sz w:val="28"/>
          <w:szCs w:val="28"/>
        </w:rPr>
        <w:t>обставин</w:t>
      </w:r>
      <w:proofErr w:type="spellEnd"/>
      <w:r w:rsidRPr="00A71C2B">
        <w:rPr>
          <w:rFonts w:ascii="Times New Roman" w:hAnsi="Times New Roman"/>
          <w:sz w:val="28"/>
          <w:szCs w:val="28"/>
          <w:lang w:val="uk-UA"/>
        </w:rPr>
        <w:t>.</w:t>
      </w:r>
    </w:p>
    <w:p w:rsidR="00A71C2B" w:rsidRPr="00A71C2B" w:rsidRDefault="00A71C2B" w:rsidP="00A71C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Прокурором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Касьяном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 А.О. здійснюється нагляд за додержанням законів під час проведення досудового розслідування у формі процесуального керівництва досудовим розслідуванням у кримінальному провадженні № 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ознаками кримінальних правопорушень, передбачених частиною п’ятою статті 191 та частиною четвертою статті 358 КК України стосовно 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підтримання публічного обвинувачення у цьому провадженні, яке перебуває на розгляді у Вищому антикорупційному суді (справа № 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A71C2B" w:rsidRPr="00A71C2B" w:rsidRDefault="00A71C2B" w:rsidP="00A71C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судовому засіданні 27.12.2024, де розглядались заяви сторони захисту про відвід прокурора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Касьяна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А.О. та клопотання про закриття кримінального провадження і про витребування поданих стороною захисту доказів, прокурор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А.О. під час виступу адвоката 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, відверто проявляючи неповагу до суду та інших учасників судового процесу, без дозволу суду неодноразово перешкоджав виступу адвоката з проханням нібито зробити йому зауваження.</w:t>
      </w:r>
    </w:p>
    <w:p w:rsidR="00A71C2B" w:rsidRPr="00A71C2B" w:rsidRDefault="00A71C2B" w:rsidP="00A71C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Скаржник вважає, що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Касьяном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 порушено вимоги статті 19 Закону  № 1697-VII, статей 11, 16, 21 Кодексу професійної етики та поведінки прокурорів і допущено неправомірну поведінку та дії, що порочать звання прокурора і можуть викликати сумнів у його об’єктивності, неупередженості та незалежності, у чесності та непідкупності  органів прокуратури.   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Окрім цього, у дисциплінарній скарзі викладаються норми законодавства з одночасним їх суб’єктивним тлумаченням, обставинами кримінального провадження, надається оцінка дій прокурора тощо.</w:t>
      </w: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A71C2B" w:rsidRPr="00A71C2B" w:rsidRDefault="00A71C2B" w:rsidP="00E32D59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A71C2B" w:rsidRPr="00A71C2B" w:rsidRDefault="00A71C2B" w:rsidP="00A71C2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скарги долучено копії: свідоцтва про право на заняття адвокатською діяльністю та ордеру на надання ним правничої (правової) допомоги;</w:t>
      </w:r>
      <w:r w:rsidRPr="00A71C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технічний запис судового засідання 27.12.2024 у справі №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 (конфіденційна інформація)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оптичному носії.</w:t>
      </w: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C2B" w:rsidRPr="00A71C2B" w:rsidRDefault="00A71C2B" w:rsidP="004C543A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Джерела права, які підлягають застосуванню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України «Про прокуратуру»).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визначеною у статті 3 Закону № 1697-</w:t>
      </w:r>
      <w:r w:rsidRPr="00A71C2B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, є незалежність прокурорів. Зі змісту частини другої статті 16 цього 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Водночас 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дисциплінарного провадження наведено у частині першій статті 45 Закону № 1697-</w:t>
      </w:r>
      <w:r w:rsidRPr="00A71C2B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Закону № 1697-</w:t>
      </w:r>
      <w:r w:rsidRPr="00A71C2B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визначено, що </w:t>
      </w:r>
      <w:bookmarkStart w:id="2" w:name="n417"/>
      <w:bookmarkEnd w:id="2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3" w:name="n418"/>
      <w:bookmarkEnd w:id="3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1) невиконання чи неналежне виконання службових обов’язків;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n419"/>
      <w:bookmarkEnd w:id="4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2) необґрунтоване зволікання з розглядом звернення;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5" w:name="n420"/>
      <w:bookmarkEnd w:id="5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6" w:name="n421"/>
      <w:bookmarkEnd w:id="6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7" w:name="n2686"/>
      <w:bookmarkEnd w:id="7"/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8" w:name="n422"/>
      <w:bookmarkEnd w:id="8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9" w:name="n423"/>
      <w:bookmarkEnd w:id="9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0" w:name="n424"/>
      <w:bookmarkEnd w:id="10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7) порушення правил внутрішнього службового розпорядку;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1" w:name="n425"/>
      <w:bookmarkEnd w:id="11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2" w:name="n426"/>
      <w:bookmarkEnd w:id="12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9) публічне висловлювання, яке є порушенням презумпції невинуватості.</w:t>
      </w:r>
    </w:p>
    <w:p w:rsidR="00A71C2B" w:rsidRPr="00A71C2B" w:rsidRDefault="00E32D59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Юридичну к</w:t>
      </w:r>
      <w:r w:rsidR="00A71C2B"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онструкцію статті 46 Закону № 1697-</w:t>
      </w:r>
      <w:r w:rsidR="00A71C2B" w:rsidRPr="00A71C2B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="00A71C2B"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3" w:name="n441"/>
      <w:bookmarkEnd w:id="13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4" w:name="n442"/>
      <w:bookmarkEnd w:id="14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 </w:t>
      </w:r>
      <w:hyperlink r:id="rId5" w:anchor="n416" w:history="1">
        <w:r w:rsidRPr="00A71C2B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5" w:name="n443"/>
      <w:bookmarkEnd w:id="15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6" w:anchor="n505" w:history="1">
        <w:r w:rsidRPr="00A71C2B">
          <w:rPr>
            <w:rFonts w:ascii="Times New Roman" w:eastAsia="Calibri" w:hAnsi="Times New Roman" w:cs="Times New Roman"/>
            <w:sz w:val="28"/>
            <w:szCs w:val="28"/>
            <w:lang w:val="uk-UA"/>
          </w:rPr>
          <w:t> статтею 51</w:t>
        </w:r>
      </w:hyperlink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  <w:bookmarkStart w:id="16" w:name="n1893"/>
      <w:bookmarkEnd w:id="16"/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7" w:name="n444"/>
      <w:bookmarkEnd w:id="17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 скасовано в установленому законом порядку.</w:t>
      </w:r>
      <w:bookmarkStart w:id="18" w:name="n2545"/>
      <w:bookmarkEnd w:id="18"/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№ 1697-</w:t>
      </w:r>
      <w:r w:rsidRPr="00A71C2B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A71C2B" w:rsidRPr="00A71C2B" w:rsidRDefault="00A71C2B" w:rsidP="00A71C2B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71C2B" w:rsidRPr="00A71C2B" w:rsidRDefault="00A71C2B" w:rsidP="004C543A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1C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Оцінка встановлених обставин та мотиви прийнятого рішення</w:t>
      </w:r>
      <w:bookmarkStart w:id="19" w:name="_GoBack"/>
      <w:bookmarkEnd w:id="19"/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стосується дій прокурора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Касьяна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 вчинених (допущених) в судовому засіданні Вищого антикорупційного суду під час підтримання публічного обвинувачення у кримінальному провадженні, зокрема, вчинення дій, що порочать звання прокурора і можуть викликати сумнів у його об’єктивності, неупередженості та незалежності, у чесності органів прокуратури.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За результатами вивчення доводів дисциплінарної скарги та долучених до неї додатків мною встановлено наступне.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зі статтею 19 Конституції України органи державної влади, їх посадові особи зобов’язані діяти лише на підставі, в межах повноважень  та у  спосіб, що  передбачені Конституцією та законами України.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Комісії діє виключно в рамках встановленої Законом № 1697-VІI компетенції, тобто оцінює тільки ті факти, які можуть свідчити про наявність або відсутність у діях прокурора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Касьяна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 ознак дисциплінарного проступку, а тому дії прокурора, зазначені у дисциплінарній скарзі, слід розглядати через призму їх відповідності чи невідповідності вимогам законів та нормативно-правових актів.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проступку характеризують такі елементи, як протиправне діяння (бездіяльність), можливі шкідливі наслідки,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причиновий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46 Закону № 1697-VІІ член Комісії своїм вмотивованим рішенням відмовляє у відкритті дисциплінарного провадження, якщо наявні підстави, визначені пунктами 1–5 частини другої статті 46 Закону № 1697-VІІ.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Виходячи з цієї норми,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скарги, та/або відповідне звернення суду Комісії в передбаченому КПК України порядку.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не містять документів, із яких можливо встановити, що дії або бездіяльність прокурора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Касьяна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 визнано неправомірними, ним допущено порушення прав осіб або вимог закону чи його зобов’язано вчинити певні дії, але він безпідставно їх не виконує.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1697- VІI.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третьої, пункту 3 частини четвертої статті 19 Закону № 1697-VІІ прокурор зобов’язаний неухильно додержуватися присяги прокурора, а також діяти лише на підставі, в межах та у спосіб, що передбачені Конституцією та законами України.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Скаржник зазначив, що прокурор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 в судовому засіданні, під час виступу адвоката 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, проявив неповагу до суду та учасників судового процесу, оскільки без дозволу суду неодноразово перешкоджав виступу адвоката з проханням нібито зробити йому зауваження.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Щодо доводів, які стосуються незгоди скаржника з реалізацією прокурором своїх дискреційних повноважень в межах кримінального процесу, слід зазначити таке.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Згідно з частиною першою статті 321 КПК України, головуючий у судовому засіданні керує ходом судового засідання, забезпечує додержання послідовності та порядку вчинення процесуальних дій, здійснення учасниками кримінального провадження їхніх процесуальних прав і виконання ними обов’язків, спрямовує судовий розгляд на забезпечення з’ясування всіх обставин кримінального провадження, усуваючи з судового розгляду все, що не має значення для кримінального провадження.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Головуючий у судовому засіданні вживає необхідних заходів для забезпечення в судовому засіданні належного порядку (частина друга статті             321 КПК України).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Так, звернення прокурора до головуючого у судовому засіданні з проханням  зробити зауваження стороні захисту з приводу порушення порядку розгляду та з інших підстав, не є проявом неповаги до суду та інших учасників судового процесу.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Щодо доводів скаржника про вчинення прокурором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Касьяном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порушення прокурором вимог, заборон та обмежень, встановлених Законами України «Про запобігання корупції», «Про прокуратуру»;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в установленому законодавством порядку; неподання або несвоєчасне подання прокурором без поважних причин декларації доброчесності прокурора або зазначення в ній завідомо недостовірних (у тому числі неповних) тверджень;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матеріалах дисциплінарної скарги не наведено доводів щодо вчинення прокурором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Касьяном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 вищезазначених дій та не здобуто таких фактів під час перевірки доводів дисциплінарної скарги.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Під час перевірки опрацьовано загальнодоступну інформацію, яка міститься у Єдиному державному реєстрі судових рішень, згідно з яким 27.12.2024 в судовому засіданні Вищого антикорупційного суду (справа № 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будь-яке рішення, зокрема щодо вчинення прокурором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Касьяном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 А.О. вищезазначених дій, не приймалось.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Крім того, наданий скаржником технічний запис судового засідання від 27.12.2024 у справі № </w:t>
      </w:r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також не містить відомостей, які підтверджують доводи скаржника. 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Інші мотиви та аргументи скаржника зводяться до тлумачення норм законодавства з посиланням на власну оцінку обставин справи. 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вимог пункту 62 Положення про порядок роботи відповідного органу, що здійснює дисциплінарне провадження Комісія (і, відповідно, кожен з її членів) не може прийняти рішення на підставі припущень, неперевіреної чи недостовірної інформації.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викладеного дійшла висновку, що дисциплінарна                        скарга не містить конкретних відомостей про наявність в діях прокурора  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Касьяна</w:t>
      </w:r>
      <w:proofErr w:type="spellEnd"/>
      <w:r w:rsidR="00E32D5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А.О. ознак дисциплінарного проступку, відповідальність за який передбачена пунктом 5 частини першої статті 43 Закону № 1697-VII, а саме вчинення дій, що порочать звання прокурора і можуть викликати сумнів у його  </w:t>
      </w: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об’єктивності, неупередженості та незалежності, у чесності органів прокуратури.</w:t>
      </w:r>
    </w:p>
    <w:p w:rsidR="00A71C2B" w:rsidRPr="00A71C2B" w:rsidRDefault="00A71C2B" w:rsidP="00A71C2B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 – 46 Закону № 1697-VII, пунктами 28, 62, 98 Положення про порядок роботи відповідного органу, що здійснює дисциплінарне провадження,</w:t>
      </w:r>
    </w:p>
    <w:p w:rsidR="00A71C2B" w:rsidRPr="00A71C2B" w:rsidRDefault="00A71C2B" w:rsidP="00A71C2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Л А:</w:t>
      </w: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прокурора третього відділу управління процесуального керівництва, підтримання публічного обвинувачення та представництва в суді Спеціалізованої антикорупційної прокуратури </w:t>
      </w:r>
      <w:proofErr w:type="spellStart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Касьяна</w:t>
      </w:r>
      <w:proofErr w:type="spellEnd"/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Андрія Олексійовича.</w:t>
      </w: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sz w:val="28"/>
          <w:szCs w:val="28"/>
          <w:lang w:val="uk-UA"/>
        </w:rPr>
        <w:t>Рішення направити скаржнику та прокурору.</w:t>
      </w: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C2B" w:rsidRPr="00A71C2B" w:rsidRDefault="00A71C2B" w:rsidP="00A71C2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C2B" w:rsidRPr="00A71C2B" w:rsidRDefault="00A71C2B" w:rsidP="00A71C2B">
      <w:pPr>
        <w:widowControl w:val="0"/>
        <w:pBdr>
          <w:bottom w:val="single" w:sz="12" w:space="31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Кваліфікаційно-дисциплінарної</w:t>
      </w:r>
    </w:p>
    <w:p w:rsidR="00A71C2B" w:rsidRPr="00A71C2B" w:rsidRDefault="00A71C2B" w:rsidP="00A71C2B">
      <w:pPr>
        <w:widowControl w:val="0"/>
        <w:pBdr>
          <w:bottom w:val="single" w:sz="12" w:space="31" w:color="FFFFFF"/>
        </w:pBdr>
        <w:spacing w:after="0" w:line="240" w:lineRule="auto"/>
        <w:contextualSpacing/>
        <w:jc w:val="both"/>
      </w:pP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комісії прокурорів                          </w:t>
      </w: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Pr="00A71C2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Ніна ГАРБУЗА</w:t>
      </w:r>
    </w:p>
    <w:p w:rsidR="00A71C2B" w:rsidRPr="00A71C2B" w:rsidRDefault="00A71C2B" w:rsidP="00A71C2B"/>
    <w:p w:rsidR="00A71C2B" w:rsidRPr="00A71C2B" w:rsidRDefault="00A71C2B" w:rsidP="00A71C2B"/>
    <w:p w:rsidR="00A71C2B" w:rsidRPr="00A71C2B" w:rsidRDefault="00A71C2B" w:rsidP="00A71C2B"/>
    <w:p w:rsidR="00A71C2B" w:rsidRPr="00A71C2B" w:rsidRDefault="00A71C2B" w:rsidP="00A71C2B"/>
    <w:p w:rsidR="007E09EC" w:rsidRDefault="007E09EC"/>
    <w:sectPr w:rsidR="007E09EC" w:rsidSect="009736D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6093"/>
      <w:docPartObj>
        <w:docPartGallery w:val="Page Numbers (Top of Page)"/>
        <w:docPartUnique/>
      </w:docPartObj>
    </w:sdtPr>
    <w:sdtEndPr/>
    <w:sdtContent>
      <w:p w:rsidR="00410CB1" w:rsidRDefault="004C54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10CB1" w:rsidRDefault="004C54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2B"/>
    <w:rsid w:val="004C543A"/>
    <w:rsid w:val="007E09EC"/>
    <w:rsid w:val="00A71C2B"/>
    <w:rsid w:val="00E3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5073"/>
  <w15:chartTrackingRefBased/>
  <w15:docId w15:val="{E8F1EF04-D4BD-4650-9CC1-61804502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C2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A71C2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97-18" TargetMode="External"/><Relationship Id="rId5" Type="http://schemas.openxmlformats.org/officeDocument/2006/relationships/hyperlink" Target="https://zakon.rada.gov.ua/laws/show/1697-18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2427</Words>
  <Characters>13834</Characters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2025-06-26T14:06:00Z</dcterms:created>
  <dcterms:modified xsi:type="dcterms:W3CDTF">2025-06-26T14:17:00Z</dcterms:modified>
</cp:coreProperties>
</file>