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3987F88C" w:rsidR="0079489D" w:rsidRPr="00AC7F3E" w:rsidRDefault="00BD4A63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E0D1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483C">
              <w:rPr>
                <w:rFonts w:ascii="Times New Roman" w:hAnsi="Times New Roman"/>
                <w:b/>
                <w:sz w:val="28"/>
                <w:szCs w:val="28"/>
              </w:rPr>
              <w:t xml:space="preserve">травня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4609290E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№ </w:t>
            </w:r>
            <w:r w:rsidR="00A2483C">
              <w:rPr>
                <w:rFonts w:ascii="Times New Roman" w:hAnsi="Times New Roman"/>
                <w:b/>
                <w:sz w:val="28"/>
                <w:szCs w:val="28"/>
              </w:rPr>
              <w:t>365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46449C04" w:rsidR="0032608B" w:rsidRPr="00AC7F3E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461F5A">
        <w:rPr>
          <w:rFonts w:ascii="Times New Roman" w:hAnsi="Times New Roman"/>
          <w:sz w:val="28"/>
          <w:szCs w:val="28"/>
        </w:rPr>
        <w:t>Куриленко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C259A6">
        <w:rPr>
          <w:rFonts w:ascii="Times New Roman" w:hAnsi="Times New Roman"/>
          <w:sz w:val="28"/>
          <w:szCs w:val="28"/>
        </w:rPr>
        <w:t xml:space="preserve">ОСОБА-1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A2483C">
        <w:rPr>
          <w:rFonts w:ascii="Times New Roman" w:hAnsi="Times New Roman"/>
          <w:sz w:val="28"/>
          <w:szCs w:val="28"/>
        </w:rPr>
        <w:t>прокурор</w:t>
      </w:r>
      <w:r w:rsidR="002E0D19">
        <w:rPr>
          <w:rFonts w:ascii="Times New Roman" w:hAnsi="Times New Roman"/>
          <w:sz w:val="28"/>
          <w:szCs w:val="28"/>
        </w:rPr>
        <w:t xml:space="preserve">ом </w:t>
      </w:r>
      <w:r w:rsidR="00A2483C">
        <w:rPr>
          <w:rFonts w:ascii="Times New Roman" w:hAnsi="Times New Roman"/>
          <w:sz w:val="28"/>
          <w:szCs w:val="28"/>
        </w:rPr>
        <w:t>П</w:t>
      </w:r>
      <w:r w:rsidR="002E0D19">
        <w:rPr>
          <w:rFonts w:ascii="Times New Roman" w:hAnsi="Times New Roman"/>
          <w:sz w:val="28"/>
          <w:szCs w:val="28"/>
        </w:rPr>
        <w:t xml:space="preserve">риморської </w:t>
      </w:r>
      <w:r w:rsidR="00A2483C">
        <w:rPr>
          <w:rFonts w:ascii="Times New Roman" w:hAnsi="Times New Roman"/>
          <w:sz w:val="28"/>
          <w:szCs w:val="28"/>
        </w:rPr>
        <w:t xml:space="preserve">окружної прокуратури міста </w:t>
      </w:r>
      <w:r w:rsidR="002E0D19">
        <w:rPr>
          <w:rFonts w:ascii="Times New Roman" w:hAnsi="Times New Roman"/>
          <w:sz w:val="28"/>
          <w:szCs w:val="28"/>
        </w:rPr>
        <w:t>Одеси Одеської області     Михайловою Е.С.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> – прокурор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2E0D19">
        <w:rPr>
          <w:rFonts w:ascii="Times New Roman" w:hAnsi="Times New Roman"/>
          <w:sz w:val="28"/>
          <w:szCs w:val="28"/>
        </w:rPr>
        <w:t>Михайлова Е.Є.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3508B9" w:rsidRPr="00AC7F3E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655E5970" w:rsidR="0032608B" w:rsidRPr="00AC7F3E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2E0D19">
        <w:rPr>
          <w:rFonts w:ascii="Times New Roman" w:hAnsi="Times New Roman"/>
          <w:sz w:val="28"/>
          <w:szCs w:val="28"/>
        </w:rPr>
        <w:t xml:space="preserve"> </w:t>
      </w:r>
      <w:r w:rsidR="00C259A6">
        <w:rPr>
          <w:rFonts w:ascii="Times New Roman" w:hAnsi="Times New Roman"/>
          <w:sz w:val="28"/>
          <w:szCs w:val="28"/>
        </w:rPr>
        <w:t xml:space="preserve">ОСОБА-1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2E0D19">
        <w:rPr>
          <w:rFonts w:ascii="Times New Roman" w:hAnsi="Times New Roman"/>
          <w:sz w:val="28"/>
          <w:szCs w:val="28"/>
        </w:rPr>
        <w:t xml:space="preserve">ом Михайловою Е.С. 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461F5A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16F24D72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A2483C">
        <w:rPr>
          <w:rFonts w:ascii="Times New Roman" w:hAnsi="Times New Roman" w:cs="Calibri"/>
          <w:sz w:val="28"/>
        </w:rPr>
        <w:t>0</w:t>
      </w:r>
      <w:r w:rsidR="002E0D19">
        <w:rPr>
          <w:rFonts w:ascii="Times New Roman" w:hAnsi="Times New Roman" w:cs="Calibri"/>
          <w:sz w:val="28"/>
        </w:rPr>
        <w:t>5</w:t>
      </w:r>
      <w:r w:rsidR="00A2483C">
        <w:rPr>
          <w:rFonts w:ascii="Times New Roman" w:hAnsi="Times New Roman" w:cs="Calibri"/>
          <w:sz w:val="28"/>
        </w:rPr>
        <w:t>.05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461F5A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75D8A913" w14:textId="0B02DFE2" w:rsidR="008D769D" w:rsidRDefault="007E1E2E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</w:t>
      </w:r>
      <w:r w:rsidR="002E0D19">
        <w:rPr>
          <w:rFonts w:ascii="Times New Roman" w:hAnsi="Times New Roman"/>
          <w:sz w:val="28"/>
          <w:szCs w:val="28"/>
        </w:rPr>
        <w:t>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2E0D19">
        <w:rPr>
          <w:rFonts w:ascii="Times New Roman" w:hAnsi="Times New Roman"/>
          <w:sz w:val="28"/>
          <w:szCs w:val="28"/>
        </w:rPr>
        <w:t>ом Михайловою Е.Є.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 xml:space="preserve">здійснюється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2E0D19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2E0D19">
        <w:rPr>
          <w:rFonts w:ascii="Times New Roman" w:hAnsi="Times New Roman"/>
          <w:sz w:val="28"/>
          <w:szCs w:val="28"/>
        </w:rPr>
        <w:t xml:space="preserve">і </w:t>
      </w:r>
      <w:r w:rsidR="00A2483C">
        <w:rPr>
          <w:rFonts w:ascii="Times New Roman" w:hAnsi="Times New Roman"/>
          <w:sz w:val="28"/>
          <w:szCs w:val="28"/>
        </w:rPr>
        <w:t xml:space="preserve"> </w:t>
      </w:r>
      <w:r w:rsidR="002E0D19">
        <w:rPr>
          <w:rFonts w:ascii="Times New Roman" w:hAnsi="Times New Roman"/>
          <w:sz w:val="28"/>
          <w:szCs w:val="28"/>
        </w:rPr>
        <w:t xml:space="preserve">                 </w:t>
      </w:r>
      <w:r w:rsidR="00C259A6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0666D1">
        <w:rPr>
          <w:rFonts w:ascii="Times New Roman" w:hAnsi="Times New Roman"/>
          <w:sz w:val="28"/>
          <w:szCs w:val="28"/>
        </w:rPr>
        <w:t>досудове розслідування у як</w:t>
      </w:r>
      <w:r w:rsidR="003E0F1C">
        <w:rPr>
          <w:rFonts w:ascii="Times New Roman" w:hAnsi="Times New Roman"/>
          <w:sz w:val="28"/>
          <w:szCs w:val="28"/>
        </w:rPr>
        <w:t xml:space="preserve">их </w:t>
      </w:r>
      <w:r w:rsidR="000666D1">
        <w:rPr>
          <w:rFonts w:ascii="Times New Roman" w:hAnsi="Times New Roman"/>
          <w:sz w:val="28"/>
          <w:szCs w:val="28"/>
        </w:rPr>
        <w:t xml:space="preserve">здійснюється слідчими </w:t>
      </w:r>
      <w:r w:rsidR="00874994">
        <w:rPr>
          <w:rFonts w:ascii="Times New Roman" w:hAnsi="Times New Roman"/>
          <w:sz w:val="28"/>
          <w:szCs w:val="28"/>
        </w:rPr>
        <w:t xml:space="preserve">ВП № 2 Одеського РУП ГУНП в Одеській області, </w:t>
      </w:r>
      <w:r w:rsidR="003E0F1C">
        <w:rPr>
          <w:rFonts w:ascii="Times New Roman" w:hAnsi="Times New Roman"/>
          <w:sz w:val="28"/>
          <w:szCs w:val="28"/>
        </w:rPr>
        <w:t>у яких в</w:t>
      </w:r>
      <w:r w:rsidR="00874994">
        <w:rPr>
          <w:rFonts w:ascii="Times New Roman" w:hAnsi="Times New Roman"/>
          <w:sz w:val="28"/>
          <w:szCs w:val="28"/>
        </w:rPr>
        <w:t xml:space="preserve">ін </w:t>
      </w:r>
      <w:r w:rsidR="003E0F1C">
        <w:rPr>
          <w:rFonts w:ascii="Times New Roman" w:hAnsi="Times New Roman"/>
          <w:sz w:val="28"/>
          <w:szCs w:val="28"/>
        </w:rPr>
        <w:t>є заявни</w:t>
      </w:r>
      <w:r w:rsidR="00874994">
        <w:rPr>
          <w:rFonts w:ascii="Times New Roman" w:hAnsi="Times New Roman"/>
          <w:sz w:val="28"/>
          <w:szCs w:val="28"/>
        </w:rPr>
        <w:t xml:space="preserve">ком </w:t>
      </w:r>
      <w:r w:rsidR="003E0F1C">
        <w:rPr>
          <w:rFonts w:ascii="Times New Roman" w:hAnsi="Times New Roman"/>
          <w:sz w:val="28"/>
          <w:szCs w:val="28"/>
        </w:rPr>
        <w:t>та потерпіл</w:t>
      </w:r>
      <w:r w:rsidR="00874994">
        <w:rPr>
          <w:rFonts w:ascii="Times New Roman" w:hAnsi="Times New Roman"/>
          <w:sz w:val="28"/>
          <w:szCs w:val="28"/>
        </w:rPr>
        <w:t xml:space="preserve">им. </w:t>
      </w:r>
      <w:r w:rsidR="000666D1">
        <w:rPr>
          <w:rFonts w:ascii="Times New Roman" w:hAnsi="Times New Roman"/>
          <w:sz w:val="28"/>
          <w:szCs w:val="28"/>
        </w:rPr>
        <w:t>У</w:t>
      </w:r>
      <w:r w:rsidR="00530F53">
        <w:rPr>
          <w:rFonts w:ascii="Times New Roman" w:hAnsi="Times New Roman"/>
          <w:sz w:val="28"/>
          <w:szCs w:val="28"/>
        </w:rPr>
        <w:t>продовж тривалого часу не приймаються</w:t>
      </w:r>
      <w:r w:rsidR="00ED1941" w:rsidRPr="00ED1941">
        <w:rPr>
          <w:rFonts w:ascii="Times New Roman" w:hAnsi="Times New Roman"/>
          <w:sz w:val="28"/>
          <w:szCs w:val="28"/>
        </w:rPr>
        <w:t xml:space="preserve"> </w:t>
      </w:r>
      <w:r w:rsidR="000666D1">
        <w:rPr>
          <w:rFonts w:ascii="Times New Roman" w:hAnsi="Times New Roman"/>
          <w:sz w:val="28"/>
          <w:szCs w:val="28"/>
        </w:rPr>
        <w:t xml:space="preserve">відповідні процесуальні рішення, </w:t>
      </w:r>
      <w:r w:rsidR="00383C09">
        <w:rPr>
          <w:rFonts w:ascii="Times New Roman" w:hAnsi="Times New Roman"/>
          <w:sz w:val="28"/>
          <w:szCs w:val="28"/>
        </w:rPr>
        <w:t>належні заходи для притягнення ос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>б, як</w:t>
      </w:r>
      <w:r w:rsidR="003E0F1C">
        <w:rPr>
          <w:rFonts w:ascii="Times New Roman" w:hAnsi="Times New Roman"/>
          <w:sz w:val="28"/>
          <w:szCs w:val="28"/>
        </w:rPr>
        <w:t>і</w:t>
      </w:r>
      <w:r w:rsidR="00383C09">
        <w:rPr>
          <w:rFonts w:ascii="Times New Roman" w:hAnsi="Times New Roman"/>
          <w:sz w:val="28"/>
          <w:szCs w:val="28"/>
        </w:rPr>
        <w:t xml:space="preserve"> вчинил</w:t>
      </w:r>
      <w:r w:rsidR="003E0F1C">
        <w:rPr>
          <w:rFonts w:ascii="Times New Roman" w:hAnsi="Times New Roman"/>
          <w:sz w:val="28"/>
          <w:szCs w:val="28"/>
        </w:rPr>
        <w:t>и</w:t>
      </w:r>
      <w:r w:rsidR="00383C09">
        <w:rPr>
          <w:rFonts w:ascii="Times New Roman" w:hAnsi="Times New Roman"/>
          <w:sz w:val="28"/>
          <w:szCs w:val="28"/>
        </w:rPr>
        <w:t xml:space="preserve"> кримінальне правопорушення не здійснюються, також </w:t>
      </w:r>
      <w:r w:rsidR="000666D1">
        <w:rPr>
          <w:rFonts w:ascii="Times New Roman" w:hAnsi="Times New Roman"/>
          <w:sz w:val="28"/>
          <w:szCs w:val="28"/>
        </w:rPr>
        <w:t xml:space="preserve">слідчими неналежно розглядаються </w:t>
      </w:r>
      <w:r w:rsidR="00874994">
        <w:rPr>
          <w:rFonts w:ascii="Times New Roman" w:hAnsi="Times New Roman"/>
          <w:sz w:val="28"/>
          <w:szCs w:val="28"/>
        </w:rPr>
        <w:t xml:space="preserve">його </w:t>
      </w:r>
      <w:r w:rsidR="000666D1">
        <w:rPr>
          <w:rFonts w:ascii="Times New Roman" w:hAnsi="Times New Roman"/>
          <w:sz w:val="28"/>
          <w:szCs w:val="28"/>
        </w:rPr>
        <w:t>клопотання</w:t>
      </w:r>
      <w:r w:rsidR="003E0F1C">
        <w:rPr>
          <w:rFonts w:ascii="Times New Roman" w:hAnsi="Times New Roman"/>
          <w:sz w:val="28"/>
          <w:szCs w:val="28"/>
        </w:rPr>
        <w:t>,</w:t>
      </w:r>
      <w:r w:rsidR="00874994">
        <w:rPr>
          <w:rFonts w:ascii="Times New Roman" w:hAnsi="Times New Roman"/>
          <w:sz w:val="28"/>
          <w:szCs w:val="28"/>
        </w:rPr>
        <w:t xml:space="preserve"> та</w:t>
      </w:r>
      <w:r w:rsidR="003E0F1C">
        <w:rPr>
          <w:rFonts w:ascii="Times New Roman" w:hAnsi="Times New Roman"/>
          <w:sz w:val="28"/>
          <w:szCs w:val="28"/>
        </w:rPr>
        <w:t xml:space="preserve"> неодноразово приймалося рішення про закриття кримінального провадження</w:t>
      </w:r>
      <w:r w:rsidR="00874994">
        <w:rPr>
          <w:rFonts w:ascii="Times New Roman" w:hAnsi="Times New Roman"/>
          <w:sz w:val="28"/>
          <w:szCs w:val="28"/>
        </w:rPr>
        <w:t xml:space="preserve">.  </w:t>
      </w:r>
    </w:p>
    <w:p w14:paraId="7B6E575F" w14:textId="55F87C0C" w:rsidR="008D5DF0" w:rsidRDefault="008D769D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Вищевказані порушення упродовж тривалого часу залишаються поза увагою </w:t>
      </w:r>
      <w:r w:rsidR="00874994">
        <w:rPr>
          <w:rFonts w:ascii="Times New Roman" w:hAnsi="Times New Roman"/>
          <w:sz w:val="28"/>
          <w:szCs w:val="28"/>
        </w:rPr>
        <w:t xml:space="preserve">прокурора Михайлової Е.Є. та відсутністю відповідного реагування з її боку. </w:t>
      </w:r>
    </w:p>
    <w:p w14:paraId="531AD577" w14:textId="2AB359DD" w:rsidR="00827214" w:rsidRDefault="003D15B0" w:rsidP="00160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</w:t>
      </w:r>
      <w:r w:rsidR="009E2A89">
        <w:rPr>
          <w:rFonts w:ascii="Times New Roman" w:hAnsi="Times New Roman"/>
          <w:sz w:val="28"/>
          <w:szCs w:val="28"/>
        </w:rPr>
        <w:t xml:space="preserve">к </w:t>
      </w:r>
      <w:r w:rsidR="00160BCF" w:rsidRPr="00160BCF">
        <w:rPr>
          <w:rFonts w:ascii="Times New Roman" w:hAnsi="Times New Roman" w:cs="Calibri"/>
          <w:sz w:val="28"/>
        </w:rPr>
        <w:t xml:space="preserve">вважає, що у діях </w:t>
      </w:r>
      <w:r w:rsidR="00856D71">
        <w:rPr>
          <w:rFonts w:ascii="Times New Roman" w:hAnsi="Times New Roman" w:cs="Calibri"/>
          <w:sz w:val="28"/>
        </w:rPr>
        <w:t>прокурор</w:t>
      </w:r>
      <w:r w:rsidR="009E2A89">
        <w:rPr>
          <w:rFonts w:ascii="Times New Roman" w:hAnsi="Times New Roman" w:cs="Calibri"/>
          <w:sz w:val="28"/>
        </w:rPr>
        <w:t xml:space="preserve">а </w:t>
      </w:r>
      <w:r>
        <w:rPr>
          <w:rFonts w:ascii="Times New Roman" w:hAnsi="Times New Roman" w:cs="Calibri"/>
          <w:sz w:val="28"/>
        </w:rPr>
        <w:t xml:space="preserve"> </w:t>
      </w:r>
      <w:r w:rsidR="00864C08">
        <w:rPr>
          <w:rFonts w:ascii="Times New Roman" w:hAnsi="Times New Roman" w:cs="Calibri"/>
          <w:sz w:val="28"/>
        </w:rPr>
        <w:t xml:space="preserve">   </w:t>
      </w:r>
      <w:r w:rsidR="009E2A89">
        <w:rPr>
          <w:rFonts w:ascii="Times New Roman" w:hAnsi="Times New Roman" w:cs="Calibri"/>
          <w:sz w:val="28"/>
        </w:rPr>
        <w:t xml:space="preserve">Михайлової Е.Є. </w:t>
      </w:r>
      <w:r w:rsidR="00160BCF" w:rsidRPr="00160BCF">
        <w:rPr>
          <w:rFonts w:ascii="Times New Roman" w:hAnsi="Times New Roman" w:cs="Calibri"/>
          <w:sz w:val="28"/>
        </w:rPr>
        <w:t xml:space="preserve">містяться ознаки дисциплінарного проступку </w:t>
      </w:r>
      <w:r w:rsidR="00160BCF" w:rsidRPr="00056DB3">
        <w:rPr>
          <w:rFonts w:ascii="Times New Roman" w:hAnsi="Times New Roman" w:cs="Calibri"/>
          <w:sz w:val="28"/>
        </w:rPr>
        <w:t>та в</w:t>
      </w:r>
      <w:r w:rsidR="00856D71" w:rsidRPr="00056DB3">
        <w:rPr>
          <w:rFonts w:ascii="Times New Roman" w:hAnsi="Times New Roman" w:cs="Calibri"/>
          <w:sz w:val="28"/>
        </w:rPr>
        <w:t>он</w:t>
      </w:r>
      <w:r w:rsidR="009E2A89" w:rsidRPr="00056DB3">
        <w:rPr>
          <w:rFonts w:ascii="Times New Roman" w:hAnsi="Times New Roman" w:cs="Calibri"/>
          <w:sz w:val="28"/>
        </w:rPr>
        <w:t>а</w:t>
      </w:r>
      <w:r w:rsidR="00160BCF" w:rsidRPr="00056DB3">
        <w:rPr>
          <w:rFonts w:ascii="Times New Roman" w:hAnsi="Times New Roman" w:cs="Calibri"/>
          <w:sz w:val="28"/>
        </w:rPr>
        <w:t xml:space="preserve"> підляга</w:t>
      </w:r>
      <w:r w:rsidR="00550E6D" w:rsidRPr="00056DB3">
        <w:rPr>
          <w:rFonts w:ascii="Times New Roman" w:hAnsi="Times New Roman" w:cs="Calibri"/>
          <w:sz w:val="28"/>
        </w:rPr>
        <w:t>є</w:t>
      </w:r>
      <w:r w:rsidR="00550E6D">
        <w:rPr>
          <w:rFonts w:ascii="Times New Roman" w:hAnsi="Times New Roman" w:cs="Calibri"/>
          <w:sz w:val="28"/>
        </w:rPr>
        <w:t xml:space="preserve"> </w:t>
      </w:r>
      <w:r w:rsidR="00160BCF" w:rsidRPr="00160BCF">
        <w:rPr>
          <w:rFonts w:ascii="Times New Roman" w:hAnsi="Times New Roman" w:cs="Calibri"/>
          <w:sz w:val="28"/>
        </w:rPr>
        <w:lastRenderedPageBreak/>
        <w:t xml:space="preserve">притягненню до дисциплінарної відповідальності на підставі </w:t>
      </w:r>
      <w:bookmarkStart w:id="0" w:name="_Hlk198211510"/>
      <w:r w:rsidR="009E2A89">
        <w:rPr>
          <w:rFonts w:ascii="Times New Roman" w:hAnsi="Times New Roman" w:cs="Calibri"/>
          <w:sz w:val="28"/>
        </w:rPr>
        <w:t>п.</w:t>
      </w:r>
      <w:r w:rsidR="00160BCF" w:rsidRPr="00160BCF">
        <w:rPr>
          <w:rFonts w:ascii="Times New Roman" w:hAnsi="Times New Roman" w:cs="Calibri"/>
          <w:sz w:val="28"/>
        </w:rPr>
        <w:t>п. 1</w:t>
      </w:r>
      <w:r w:rsidR="009E2A89">
        <w:rPr>
          <w:rFonts w:ascii="Times New Roman" w:hAnsi="Times New Roman" w:cs="Calibri"/>
          <w:sz w:val="28"/>
        </w:rPr>
        <w:t xml:space="preserve">, 2 </w:t>
      </w:r>
      <w:r w:rsidR="00160BCF" w:rsidRPr="00160BCF">
        <w:rPr>
          <w:rFonts w:ascii="Times New Roman" w:hAnsi="Times New Roman" w:cs="Calibri"/>
          <w:sz w:val="28"/>
        </w:rPr>
        <w:t>ч. 1 ст. 43 Закону України «Про прокуратуру» 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1" w:name="_Hlk162863949"/>
      <w:bookmarkEnd w:id="0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bookmarkStart w:id="2" w:name="_Hlk166571651"/>
      <w:r w:rsidR="009E2A89">
        <w:rPr>
          <w:rFonts w:ascii="Times New Roman" w:hAnsi="Times New Roman"/>
          <w:sz w:val="28"/>
          <w:szCs w:val="28"/>
        </w:rPr>
        <w:t xml:space="preserve"> та необґрунтоване зволікання з розглядом звернення. </w:t>
      </w:r>
    </w:p>
    <w:bookmarkEnd w:id="1"/>
    <w:bookmarkEnd w:id="2"/>
    <w:p w14:paraId="013029CC" w14:textId="234B9F9C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550E6D">
        <w:rPr>
          <w:rFonts w:ascii="Times New Roman" w:hAnsi="Times New Roman"/>
          <w:sz w:val="28"/>
          <w:szCs w:val="28"/>
        </w:rPr>
        <w:t xml:space="preserve">  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74360C5A" w14:textId="77777777" w:rsidR="008D5288" w:rsidRDefault="00061E56" w:rsidP="008D52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D5288">
        <w:rPr>
          <w:sz w:val="28"/>
          <w:szCs w:val="28"/>
          <w:lang w:val="uk-UA"/>
        </w:rPr>
        <w:t>До дис</w:t>
      </w:r>
      <w:r w:rsidR="00737958" w:rsidRPr="008D5288">
        <w:rPr>
          <w:sz w:val="28"/>
          <w:szCs w:val="28"/>
          <w:lang w:val="uk-UA"/>
        </w:rPr>
        <w:t xml:space="preserve">циплінарної скарги </w:t>
      </w:r>
      <w:r w:rsidR="009E2A89" w:rsidRPr="008D5288">
        <w:rPr>
          <w:sz w:val="28"/>
          <w:szCs w:val="28"/>
          <w:lang w:val="uk-UA"/>
        </w:rPr>
        <w:t xml:space="preserve">не долучено жодних документів. </w:t>
      </w:r>
    </w:p>
    <w:p w14:paraId="0C49E35A" w14:textId="319C4F98" w:rsidR="008D5288" w:rsidRPr="00056DB3" w:rsidRDefault="009E2A89" w:rsidP="008D52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D5288">
        <w:rPr>
          <w:sz w:val="28"/>
          <w:szCs w:val="28"/>
          <w:lang w:val="uk-UA"/>
        </w:rPr>
        <w:t>Водночас скаржником до Комісії надіслано текст додатк</w:t>
      </w:r>
      <w:r w:rsidR="00864C08">
        <w:rPr>
          <w:sz w:val="28"/>
          <w:szCs w:val="28"/>
          <w:lang w:val="uk-UA"/>
        </w:rPr>
        <w:t>а</w:t>
      </w:r>
      <w:r w:rsidRPr="008D5288">
        <w:rPr>
          <w:sz w:val="28"/>
          <w:szCs w:val="28"/>
          <w:lang w:val="uk-UA"/>
        </w:rPr>
        <w:t xml:space="preserve"> до дисциплінарної скарги</w:t>
      </w:r>
      <w:r w:rsidR="008D5288">
        <w:rPr>
          <w:sz w:val="28"/>
          <w:szCs w:val="28"/>
          <w:lang w:val="uk-UA"/>
        </w:rPr>
        <w:t>,</w:t>
      </w:r>
      <w:r w:rsidRPr="008D5288">
        <w:rPr>
          <w:sz w:val="28"/>
          <w:szCs w:val="28"/>
          <w:lang w:val="uk-UA"/>
        </w:rPr>
        <w:t xml:space="preserve"> у якому відображено бачення скаржника щодо наявності підстав для притягнення прокурора до дисциплінарної відповідальності</w:t>
      </w:r>
      <w:r w:rsidR="003C2A60" w:rsidRPr="008D5288">
        <w:rPr>
          <w:sz w:val="28"/>
          <w:szCs w:val="28"/>
          <w:lang w:val="uk-UA"/>
        </w:rPr>
        <w:t xml:space="preserve"> та додатково </w:t>
      </w:r>
      <w:r w:rsidR="003C2A60" w:rsidRPr="00056DB3">
        <w:rPr>
          <w:sz w:val="28"/>
          <w:szCs w:val="28"/>
          <w:lang w:val="uk-UA"/>
        </w:rPr>
        <w:t>зазначено</w:t>
      </w:r>
      <w:r w:rsidR="00550E6D" w:rsidRPr="00056DB3">
        <w:rPr>
          <w:sz w:val="28"/>
          <w:szCs w:val="28"/>
          <w:lang w:val="uk-UA"/>
        </w:rPr>
        <w:t>, що</w:t>
      </w:r>
      <w:r w:rsidR="003C2A60" w:rsidRPr="00056DB3">
        <w:rPr>
          <w:sz w:val="28"/>
          <w:szCs w:val="28"/>
          <w:lang w:val="uk-UA"/>
        </w:rPr>
        <w:t xml:space="preserve"> підставою для</w:t>
      </w:r>
      <w:r w:rsidR="008D5288" w:rsidRPr="00056DB3">
        <w:rPr>
          <w:sz w:val="28"/>
          <w:szCs w:val="28"/>
          <w:lang w:val="uk-UA"/>
        </w:rPr>
        <w:t xml:space="preserve"> притягнення прокурора Михайлової Е.Є. до дисциплінарної відповідальності</w:t>
      </w:r>
      <w:r w:rsidR="008D5288" w:rsidRPr="008D5288">
        <w:rPr>
          <w:sz w:val="28"/>
          <w:szCs w:val="28"/>
          <w:lang w:val="uk-UA"/>
        </w:rPr>
        <w:t xml:space="preserve"> на підставі </w:t>
      </w:r>
      <w:r w:rsidR="008D5288" w:rsidRPr="008D5288">
        <w:rPr>
          <w:rFonts w:cs="Calibri"/>
          <w:sz w:val="28"/>
          <w:lang w:val="uk-UA"/>
        </w:rPr>
        <w:t>п. 5 ч. 1 ст. 43 Закону України «Про прокуратуру» (далі – Закон № 1697-VII), за</w:t>
      </w:r>
      <w:r w:rsidR="008D5288" w:rsidRPr="008D5288">
        <w:rPr>
          <w:sz w:val="28"/>
          <w:szCs w:val="28"/>
          <w:lang w:val="uk-UA" w:eastAsia="uk-UA"/>
        </w:rPr>
        <w:t xml:space="preserve">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8D5288">
        <w:rPr>
          <w:sz w:val="28"/>
          <w:szCs w:val="28"/>
          <w:lang w:val="uk-UA" w:eastAsia="uk-UA"/>
        </w:rPr>
        <w:t>.</w:t>
      </w:r>
    </w:p>
    <w:p w14:paraId="27192913" w14:textId="77777777" w:rsidR="00B9059B" w:rsidRDefault="00B405B2" w:rsidP="008D528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8D528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31490974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</w:p>
    <w:p w14:paraId="47CE058D" w14:textId="73D395CD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864C08">
        <w:rPr>
          <w:rFonts w:ascii="Times New Roman" w:hAnsi="Times New Roman" w:cs="Calibri"/>
          <w:sz w:val="28"/>
        </w:rPr>
        <w:t xml:space="preserve">й </w:t>
      </w:r>
      <w:r w:rsidRPr="00A9144D">
        <w:rPr>
          <w:rFonts w:ascii="Times New Roman" w:hAnsi="Times New Roman" w:cs="Calibri"/>
          <w:sz w:val="28"/>
        </w:rPr>
        <w:t xml:space="preserve">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</w:t>
      </w:r>
      <w:r w:rsidRPr="00A9144D">
        <w:rPr>
          <w:rFonts w:ascii="Times New Roman" w:hAnsi="Times New Roman" w:cs="Calibri"/>
          <w:sz w:val="28"/>
        </w:rPr>
        <w:lastRenderedPageBreak/>
        <w:t>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77146E9F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864C08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5B117C37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EF1BE6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>2019 в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1726CE5D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864C08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lastRenderedPageBreak/>
        <w:t>1) дисциплінарна скарга не містить конкретних відомостей про наявність ознак дисциплінарного проступку прокурора;</w:t>
      </w:r>
      <w:bookmarkStart w:id="3" w:name="n441"/>
      <w:bookmarkEnd w:id="3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4" w:name="n442"/>
      <w:bookmarkEnd w:id="4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443"/>
      <w:bookmarkEnd w:id="5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6" w:name="n1893"/>
      <w:bookmarkStart w:id="7" w:name="n444"/>
      <w:bookmarkEnd w:id="6"/>
      <w:bookmarkEnd w:id="7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8" w:name="n2545"/>
      <w:bookmarkEnd w:id="8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9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9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6370D540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</w:t>
      </w:r>
      <w:r w:rsidR="000D204E">
        <w:rPr>
          <w:rFonts w:ascii="Times New Roman" w:hAnsi="Times New Roman" w:cs="Calibri"/>
          <w:sz w:val="28"/>
        </w:rPr>
        <w:t>документи</w:t>
      </w:r>
      <w:r w:rsidRPr="008613CB">
        <w:rPr>
          <w:rFonts w:ascii="Times New Roman" w:hAnsi="Times New Roman" w:cs="Calibri"/>
          <w:sz w:val="28"/>
        </w:rPr>
        <w:t xml:space="preserve">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>прокурор</w:t>
      </w:r>
      <w:r w:rsidR="004C4BAF">
        <w:rPr>
          <w:rFonts w:ascii="Times New Roman" w:hAnsi="Times New Roman" w:cs="Calibri"/>
          <w:sz w:val="28"/>
        </w:rPr>
        <w:t xml:space="preserve">а </w:t>
      </w:r>
      <w:bookmarkStart w:id="10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10"/>
    </w:p>
    <w:p w14:paraId="0794786A" w14:textId="03E1974C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864C08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C222C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</w:t>
      </w:r>
      <w:r w:rsidRPr="00C222CF">
        <w:rPr>
          <w:rFonts w:ascii="Times New Roman" w:hAnsi="Times New Roman" w:cs="Calibri"/>
          <w:sz w:val="28"/>
        </w:rPr>
        <w:lastRenderedPageBreak/>
        <w:t xml:space="preserve">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2FDFE3EC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EF1B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4C4BA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3E5C354A" w14:textId="05D9BC6B" w:rsidR="004437B1" w:rsidRDefault="00864C08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З</w:t>
      </w:r>
      <w:r w:rsidR="00C222CF" w:rsidRPr="00C222CF">
        <w:rPr>
          <w:rFonts w:ascii="Times New Roman" w:hAnsi="Times New Roman" w:cs="Calibri"/>
          <w:sz w:val="28"/>
        </w:rPr>
        <w:t xml:space="preserve"> вивчення скарги випливає, що скаржни</w:t>
      </w:r>
      <w:r w:rsidR="004C4BAF">
        <w:rPr>
          <w:rFonts w:ascii="Times New Roman" w:hAnsi="Times New Roman" w:cs="Calibri"/>
          <w:sz w:val="28"/>
        </w:rPr>
        <w:t xml:space="preserve">ком </w:t>
      </w:r>
      <w:r w:rsidR="00C222CF"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 w:rsidR="00EF1BE6">
        <w:rPr>
          <w:rFonts w:ascii="Times New Roman" w:hAnsi="Times New Roman" w:cs="Calibri"/>
          <w:sz w:val="28"/>
        </w:rPr>
        <w:t>її</w:t>
      </w:r>
      <w:r w:rsidR="00C222CF"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</w:t>
      </w:r>
      <w:r w:rsidR="004C4BAF">
        <w:rPr>
          <w:rFonts w:ascii="Times New Roman" w:hAnsi="Times New Roman" w:cs="Calibri"/>
          <w:sz w:val="28"/>
        </w:rPr>
        <w:t xml:space="preserve">            </w:t>
      </w:r>
      <w:r w:rsidR="00C222CF" w:rsidRPr="00C222CF">
        <w:rPr>
          <w:rFonts w:ascii="Times New Roman" w:hAnsi="Times New Roman" w:cs="Calibri"/>
          <w:sz w:val="28"/>
        </w:rPr>
        <w:t>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 w:rsidR="004C4BAF">
        <w:rPr>
          <w:rFonts w:ascii="Times New Roman" w:hAnsi="Times New Roman" w:cs="Calibri"/>
          <w:sz w:val="28"/>
        </w:rPr>
        <w:t xml:space="preserve">ого </w:t>
      </w:r>
      <w:r w:rsidR="00EF1BE6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</w:t>
      </w:r>
      <w:r w:rsidR="004C4BAF">
        <w:rPr>
          <w:rFonts w:ascii="Times New Roman" w:hAnsi="Times New Roman" w:cs="Calibri"/>
          <w:sz w:val="28"/>
        </w:rPr>
        <w:t>а</w:t>
      </w:r>
      <w:r w:rsidR="00C222CF" w:rsidRPr="00C222CF">
        <w:rPr>
          <w:rFonts w:ascii="Times New Roman" w:hAnsi="Times New Roman" w:cs="Calibri"/>
          <w:sz w:val="28"/>
        </w:rPr>
        <w:t xml:space="preserve">. </w:t>
      </w:r>
      <w:bookmarkStart w:id="11" w:name="_Hlk165880469"/>
      <w:r w:rsidR="004C4BAF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скарзі </w:t>
      </w:r>
      <w:r w:rsidR="004C4BAF">
        <w:rPr>
          <w:rFonts w:ascii="Times New Roman" w:hAnsi="Times New Roman" w:cs="Calibri"/>
          <w:sz w:val="28"/>
        </w:rPr>
        <w:t>н</w:t>
      </w:r>
      <w:r w:rsidR="00C222CF" w:rsidRPr="00C222CF">
        <w:rPr>
          <w:rFonts w:ascii="Times New Roman" w:hAnsi="Times New Roman" w:cs="Calibri"/>
          <w:sz w:val="28"/>
        </w:rPr>
        <w:t xml:space="preserve">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бездіяльність будь-якого прокурора, у тому числі й</w:t>
      </w:r>
      <w:r w:rsidR="004C4BAF">
        <w:rPr>
          <w:rFonts w:ascii="Times New Roman" w:hAnsi="Times New Roman" w:cs="Calibri"/>
          <w:sz w:val="28"/>
        </w:rPr>
        <w:t xml:space="preserve"> Михайлової Е.Є. </w:t>
      </w:r>
      <w:r w:rsidR="000D204E">
        <w:rPr>
          <w:rFonts w:ascii="Times New Roman" w:hAnsi="Times New Roman" w:cs="Calibri"/>
          <w:sz w:val="28"/>
        </w:rPr>
        <w:t xml:space="preserve"> </w:t>
      </w:r>
    </w:p>
    <w:p w14:paraId="6DC9D494" w14:textId="0C45061B" w:rsidR="00E319DA" w:rsidRDefault="008A74BE" w:rsidP="000D204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</w:t>
      </w:r>
      <w:r w:rsidR="00630DD1">
        <w:rPr>
          <w:rFonts w:ascii="Times New Roman" w:hAnsi="Times New Roman" w:cs="Calibri"/>
          <w:sz w:val="28"/>
        </w:rPr>
        <w:t xml:space="preserve">безпосередньо </w:t>
      </w:r>
      <w:r w:rsidR="00C222CF" w:rsidRPr="00C222CF">
        <w:rPr>
          <w:rFonts w:ascii="Times New Roman" w:hAnsi="Times New Roman" w:cs="Calibri"/>
          <w:sz w:val="28"/>
        </w:rPr>
        <w:t>прокурор</w:t>
      </w:r>
      <w:r w:rsidR="004C4BAF">
        <w:rPr>
          <w:rFonts w:ascii="Times New Roman" w:hAnsi="Times New Roman" w:cs="Calibri"/>
          <w:sz w:val="28"/>
        </w:rPr>
        <w:t xml:space="preserve">ом Михайловою Е.Є. </w:t>
      </w:r>
      <w:r w:rsidR="00C222CF" w:rsidRPr="00C222CF">
        <w:rPr>
          <w:rFonts w:ascii="Times New Roman" w:hAnsi="Times New Roman" w:cs="Calibri"/>
          <w:sz w:val="28"/>
        </w:rPr>
        <w:t>прав осіб чи вимог закону під час виконання службових повноважень.</w:t>
      </w:r>
      <w:bookmarkEnd w:id="11"/>
    </w:p>
    <w:p w14:paraId="390538BF" w14:textId="0A511DAD" w:rsidR="00E319DA" w:rsidRDefault="00E319DA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Не повідомлено інформації про те, що за результатами розгляду звернення скаржни</w:t>
      </w:r>
      <w:r w:rsidR="004C4BAF"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</w:t>
      </w:r>
      <w:r w:rsidR="000D204E">
        <w:rPr>
          <w:rFonts w:ascii="Times New Roman" w:hAnsi="Times New Roman" w:cs="Calibri"/>
          <w:sz w:val="28"/>
        </w:rPr>
        <w:t xml:space="preserve">ами </w:t>
      </w:r>
      <w:r w:rsidRPr="00D327A9">
        <w:rPr>
          <w:rFonts w:ascii="Times New Roman" w:hAnsi="Times New Roman" w:cs="Calibri"/>
          <w:sz w:val="28"/>
        </w:rPr>
        <w:t>вищого рівня приймались рішення про визнання дій прокурор</w:t>
      </w:r>
      <w:r w:rsidR="004C4BAF">
        <w:rPr>
          <w:rFonts w:ascii="Times New Roman" w:hAnsi="Times New Roman" w:cs="Calibri"/>
          <w:sz w:val="28"/>
        </w:rPr>
        <w:t xml:space="preserve">а Михайлової Е.Є. </w:t>
      </w:r>
      <w:r>
        <w:rPr>
          <w:rFonts w:ascii="Times New Roman" w:hAnsi="Times New Roman" w:cs="Calibri"/>
          <w:sz w:val="28"/>
        </w:rPr>
        <w:t xml:space="preserve">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  <w:r w:rsidR="000D204E">
        <w:rPr>
          <w:rFonts w:ascii="Times New Roman" w:hAnsi="Times New Roman"/>
          <w:sz w:val="28"/>
          <w:szCs w:val="28"/>
        </w:rPr>
        <w:t>Відомості про результати розгляду звернень скаржни</w:t>
      </w:r>
      <w:r w:rsidR="004C4BAF">
        <w:rPr>
          <w:rFonts w:ascii="Times New Roman" w:hAnsi="Times New Roman"/>
          <w:sz w:val="28"/>
          <w:szCs w:val="28"/>
        </w:rPr>
        <w:t>ка</w:t>
      </w:r>
      <w:r w:rsidR="000D204E">
        <w:rPr>
          <w:rFonts w:ascii="Times New Roman" w:hAnsi="Times New Roman"/>
          <w:sz w:val="28"/>
          <w:szCs w:val="28"/>
        </w:rPr>
        <w:t xml:space="preserve"> </w:t>
      </w:r>
      <w:r w:rsidR="004C4BAF">
        <w:rPr>
          <w:rFonts w:ascii="Times New Roman" w:hAnsi="Times New Roman"/>
          <w:sz w:val="28"/>
          <w:szCs w:val="28"/>
        </w:rPr>
        <w:t xml:space="preserve">керівництвом окружної прокуратури, Одеської обласної прокуратури </w:t>
      </w:r>
      <w:r w:rsidR="000D204E">
        <w:rPr>
          <w:rFonts w:ascii="Times New Roman" w:hAnsi="Times New Roman"/>
          <w:sz w:val="28"/>
          <w:szCs w:val="28"/>
        </w:rPr>
        <w:t>та Офісом Генерального прокурора також відсутні</w:t>
      </w:r>
      <w:r w:rsidR="004C4BAF">
        <w:rPr>
          <w:rFonts w:ascii="Times New Roman" w:hAnsi="Times New Roman"/>
          <w:sz w:val="28"/>
          <w:szCs w:val="28"/>
        </w:rPr>
        <w:t xml:space="preserve"> та неправомірними не визнавалися. </w:t>
      </w:r>
      <w:r w:rsidR="004437B1">
        <w:rPr>
          <w:rFonts w:ascii="Times New Roman" w:hAnsi="Times New Roman"/>
          <w:sz w:val="28"/>
          <w:szCs w:val="28"/>
        </w:rPr>
        <w:t>Не надано</w:t>
      </w:r>
      <w:r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 w:rsidR="004437B1">
        <w:rPr>
          <w:rFonts w:ascii="Times New Roman" w:hAnsi="Times New Roman"/>
          <w:sz w:val="28"/>
          <w:szCs w:val="28"/>
        </w:rPr>
        <w:t xml:space="preserve">до суду </w:t>
      </w:r>
      <w:r w:rsidRPr="00E319DA">
        <w:rPr>
          <w:rFonts w:ascii="Times New Roman" w:hAnsi="Times New Roman"/>
          <w:sz w:val="28"/>
          <w:szCs w:val="28"/>
        </w:rPr>
        <w:t>рішень, дій (бездіяльності) прокурор</w:t>
      </w:r>
      <w:r w:rsidR="004C4BAF">
        <w:rPr>
          <w:rFonts w:ascii="Times New Roman" w:hAnsi="Times New Roman"/>
          <w:sz w:val="28"/>
          <w:szCs w:val="28"/>
        </w:rPr>
        <w:t xml:space="preserve">а Михайлової Е.Є. </w:t>
      </w:r>
      <w:r w:rsidRPr="00E319DA">
        <w:rPr>
          <w:rFonts w:ascii="Times New Roman" w:hAnsi="Times New Roman"/>
          <w:sz w:val="28"/>
          <w:szCs w:val="28"/>
        </w:rPr>
        <w:t xml:space="preserve">у встановленому КПК України порядку. </w:t>
      </w:r>
    </w:p>
    <w:p w14:paraId="6EC9B366" w14:textId="4C1F5C10" w:rsidR="00630DD1" w:rsidRPr="00E319DA" w:rsidRDefault="00630DD1" w:rsidP="00E2119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Як зазначено скаржни</w:t>
      </w:r>
      <w:r w:rsidR="004C4BAF">
        <w:rPr>
          <w:rFonts w:ascii="Times New Roman" w:hAnsi="Times New Roman"/>
          <w:sz w:val="28"/>
          <w:szCs w:val="28"/>
        </w:rPr>
        <w:t xml:space="preserve">ком </w:t>
      </w:r>
      <w:r>
        <w:rPr>
          <w:rFonts w:ascii="Times New Roman" w:hAnsi="Times New Roman"/>
          <w:sz w:val="28"/>
          <w:szCs w:val="28"/>
        </w:rPr>
        <w:t xml:space="preserve">у дисциплінарній скарзі </w:t>
      </w:r>
      <w:r w:rsidR="004C4BAF">
        <w:rPr>
          <w:rFonts w:ascii="Times New Roman" w:hAnsi="Times New Roman"/>
          <w:sz w:val="28"/>
          <w:szCs w:val="28"/>
        </w:rPr>
        <w:t xml:space="preserve">ним безпосередньо </w:t>
      </w:r>
      <w:r>
        <w:rPr>
          <w:rFonts w:ascii="Times New Roman" w:hAnsi="Times New Roman"/>
          <w:sz w:val="28"/>
          <w:szCs w:val="28"/>
        </w:rPr>
        <w:t>оскаржу</w:t>
      </w:r>
      <w:r w:rsidR="004C4BAF">
        <w:rPr>
          <w:rFonts w:ascii="Times New Roman" w:hAnsi="Times New Roman"/>
          <w:sz w:val="28"/>
          <w:szCs w:val="28"/>
        </w:rPr>
        <w:t xml:space="preserve">валися </w:t>
      </w:r>
      <w:r>
        <w:rPr>
          <w:rFonts w:ascii="Times New Roman" w:hAnsi="Times New Roman"/>
          <w:sz w:val="28"/>
          <w:szCs w:val="28"/>
        </w:rPr>
        <w:t>дії/бездіяльність слідч</w:t>
      </w:r>
      <w:r w:rsidR="00E2119E">
        <w:rPr>
          <w:rFonts w:ascii="Times New Roman" w:hAnsi="Times New Roman"/>
          <w:sz w:val="28"/>
          <w:szCs w:val="28"/>
        </w:rPr>
        <w:t xml:space="preserve">их </w:t>
      </w:r>
      <w:r w:rsidR="004C4BAF">
        <w:rPr>
          <w:rFonts w:ascii="Times New Roman" w:hAnsi="Times New Roman"/>
          <w:sz w:val="28"/>
          <w:szCs w:val="28"/>
        </w:rPr>
        <w:t xml:space="preserve">органів поліції </w:t>
      </w:r>
      <w:r w:rsidR="00E2119E">
        <w:rPr>
          <w:rFonts w:ascii="Times New Roman" w:hAnsi="Times New Roman"/>
          <w:sz w:val="28"/>
          <w:szCs w:val="28"/>
        </w:rPr>
        <w:t xml:space="preserve">щодо </w:t>
      </w:r>
      <w:r w:rsidR="000E013C">
        <w:rPr>
          <w:rFonts w:ascii="Times New Roman" w:hAnsi="Times New Roman"/>
          <w:sz w:val="28"/>
          <w:szCs w:val="28"/>
        </w:rPr>
        <w:t xml:space="preserve">невнесення відомостей до ЄРДР, </w:t>
      </w:r>
      <w:r w:rsidR="00E2119E">
        <w:rPr>
          <w:rFonts w:ascii="Times New Roman" w:hAnsi="Times New Roman"/>
          <w:sz w:val="28"/>
          <w:szCs w:val="28"/>
        </w:rPr>
        <w:t xml:space="preserve">неефективного розслідування </w:t>
      </w:r>
      <w:r>
        <w:rPr>
          <w:rFonts w:ascii="Times New Roman" w:hAnsi="Times New Roman"/>
          <w:sz w:val="28"/>
          <w:szCs w:val="28"/>
        </w:rPr>
        <w:t>кримінальн</w:t>
      </w:r>
      <w:r w:rsidR="004C4BAF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проваджен</w:t>
      </w:r>
      <w:r w:rsidR="004C4BAF">
        <w:rPr>
          <w:rFonts w:ascii="Times New Roman" w:hAnsi="Times New Roman"/>
          <w:sz w:val="28"/>
          <w:szCs w:val="28"/>
        </w:rPr>
        <w:t xml:space="preserve">ня </w:t>
      </w:r>
      <w:r w:rsidR="00C259A6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0E013C">
        <w:rPr>
          <w:rFonts w:ascii="Times New Roman" w:hAnsi="Times New Roman"/>
          <w:sz w:val="28"/>
          <w:szCs w:val="28"/>
        </w:rPr>
        <w:t xml:space="preserve">та його безпідставного закриття. </w:t>
      </w:r>
    </w:p>
    <w:p w14:paraId="3C0EC31B" w14:textId="11EA3566" w:rsidR="00D315FE" w:rsidRDefault="00C914EC" w:rsidP="00C914E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0E013C">
        <w:rPr>
          <w:rFonts w:ascii="Times New Roman" w:hAnsi="Times New Roman"/>
          <w:sz w:val="28"/>
          <w:szCs w:val="28"/>
          <w:shd w:val="clear" w:color="auto" w:fill="FFFFFF"/>
        </w:rPr>
        <w:t>ком д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оводів, </w:t>
      </w:r>
      <w:r w:rsidRPr="00AC7F3E">
        <w:rPr>
          <w:rFonts w:ascii="Times New Roman" w:hAnsi="Times New Roman"/>
          <w:sz w:val="28"/>
          <w:szCs w:val="28"/>
        </w:rPr>
        <w:t xml:space="preserve">не вбачається, що </w:t>
      </w:r>
      <w:r w:rsidR="000E013C">
        <w:rPr>
          <w:rFonts w:ascii="Times New Roman" w:hAnsi="Times New Roman"/>
          <w:sz w:val="28"/>
          <w:szCs w:val="28"/>
        </w:rPr>
        <w:t xml:space="preserve">саме </w:t>
      </w:r>
      <w:r w:rsidRPr="00AC7F3E">
        <w:rPr>
          <w:rFonts w:ascii="Times New Roman" w:hAnsi="Times New Roman"/>
          <w:sz w:val="28"/>
          <w:szCs w:val="28"/>
        </w:rPr>
        <w:t>прокурор</w:t>
      </w:r>
      <w:r w:rsidR="000E013C">
        <w:rPr>
          <w:rFonts w:ascii="Times New Roman" w:hAnsi="Times New Roman"/>
          <w:sz w:val="28"/>
          <w:szCs w:val="28"/>
        </w:rPr>
        <w:t xml:space="preserve">ом </w:t>
      </w:r>
      <w:r w:rsidR="00864C08">
        <w:rPr>
          <w:rFonts w:ascii="Times New Roman" w:hAnsi="Times New Roman"/>
          <w:sz w:val="28"/>
          <w:szCs w:val="28"/>
        </w:rPr>
        <w:t>Ми</w:t>
      </w:r>
      <w:r w:rsidR="000E013C">
        <w:rPr>
          <w:rFonts w:ascii="Times New Roman" w:hAnsi="Times New Roman"/>
          <w:sz w:val="28"/>
          <w:szCs w:val="28"/>
        </w:rPr>
        <w:t xml:space="preserve">хайловою Е.Є. </w:t>
      </w:r>
      <w:r w:rsidRPr="00AC7F3E">
        <w:rPr>
          <w:rFonts w:ascii="Times New Roman" w:hAnsi="Times New Roman"/>
          <w:sz w:val="28"/>
          <w:szCs w:val="28"/>
        </w:rPr>
        <w:t>при</w:t>
      </w:r>
      <w:r w:rsidR="00D315FE">
        <w:rPr>
          <w:rFonts w:ascii="Times New Roman" w:hAnsi="Times New Roman"/>
          <w:sz w:val="28"/>
          <w:szCs w:val="28"/>
        </w:rPr>
        <w:t xml:space="preserve"> здійсненні </w:t>
      </w:r>
      <w:r w:rsidRPr="00AC7F3E">
        <w:rPr>
          <w:rFonts w:ascii="Times New Roman" w:hAnsi="Times New Roman"/>
          <w:sz w:val="28"/>
          <w:szCs w:val="28"/>
        </w:rPr>
        <w:t xml:space="preserve">процесуального керівництва досудовим розслідуванням у </w:t>
      </w:r>
      <w:r w:rsidR="00E2119E">
        <w:rPr>
          <w:rFonts w:ascii="Times New Roman" w:hAnsi="Times New Roman"/>
          <w:sz w:val="28"/>
          <w:szCs w:val="28"/>
        </w:rPr>
        <w:t>зазначен</w:t>
      </w:r>
      <w:r w:rsidR="000E013C">
        <w:rPr>
          <w:rFonts w:ascii="Times New Roman" w:hAnsi="Times New Roman"/>
          <w:sz w:val="28"/>
          <w:szCs w:val="28"/>
        </w:rPr>
        <w:t xml:space="preserve">ому </w:t>
      </w:r>
      <w:r w:rsidRPr="00AC7F3E">
        <w:rPr>
          <w:rFonts w:ascii="Times New Roman" w:hAnsi="Times New Roman"/>
          <w:sz w:val="28"/>
          <w:szCs w:val="28"/>
        </w:rPr>
        <w:t>кримінальн</w:t>
      </w:r>
      <w:r w:rsidR="000E013C">
        <w:rPr>
          <w:rFonts w:ascii="Times New Roman" w:hAnsi="Times New Roman"/>
          <w:sz w:val="28"/>
          <w:szCs w:val="28"/>
        </w:rPr>
        <w:t xml:space="preserve">ому </w:t>
      </w:r>
      <w:r w:rsidRPr="00AC7F3E">
        <w:rPr>
          <w:rFonts w:ascii="Times New Roman" w:hAnsi="Times New Roman"/>
          <w:sz w:val="28"/>
          <w:szCs w:val="28"/>
        </w:rPr>
        <w:t>провадженн</w:t>
      </w:r>
      <w:r w:rsidR="000E013C">
        <w:rPr>
          <w:rFonts w:ascii="Times New Roman" w:hAnsi="Times New Roman"/>
          <w:sz w:val="28"/>
          <w:szCs w:val="28"/>
        </w:rPr>
        <w:t>і</w:t>
      </w:r>
      <w:r w:rsidRPr="00AC7F3E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7536AA" w14:textId="42487FF7" w:rsidR="00C914EC" w:rsidRDefault="00C914EC" w:rsidP="00E2119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</w:rPr>
        <w:t>Дисциплінарна скарга</w:t>
      </w:r>
      <w:r w:rsidRPr="002F431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0E013C">
        <w:rPr>
          <w:rFonts w:ascii="Times New Roman" w:hAnsi="Times New Roman"/>
          <w:sz w:val="28"/>
          <w:szCs w:val="28"/>
        </w:rPr>
        <w:t xml:space="preserve">ить </w:t>
      </w:r>
      <w:r w:rsidRPr="002F4314">
        <w:rPr>
          <w:rFonts w:ascii="Times New Roman" w:hAnsi="Times New Roman"/>
          <w:sz w:val="28"/>
          <w:szCs w:val="28"/>
        </w:rPr>
        <w:t>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 xml:space="preserve">про неналежне виконання </w:t>
      </w:r>
      <w:r w:rsidR="000E013C">
        <w:rPr>
          <w:rFonts w:ascii="Times New Roman" w:hAnsi="Times New Roman"/>
          <w:sz w:val="28"/>
          <w:szCs w:val="28"/>
        </w:rPr>
        <w:t xml:space="preserve">безпосередньо прокурором Михайловою Е.Є. </w:t>
      </w:r>
      <w:r w:rsidR="00E2119E">
        <w:rPr>
          <w:rFonts w:ascii="Times New Roman" w:hAnsi="Times New Roman" w:cs="Calibri"/>
          <w:sz w:val="28"/>
        </w:rPr>
        <w:t>своїх</w:t>
      </w:r>
      <w:r w:rsidR="00A6624B">
        <w:rPr>
          <w:rFonts w:ascii="Times New Roman" w:hAnsi="Times New Roman"/>
          <w:sz w:val="28"/>
          <w:szCs w:val="28"/>
        </w:rPr>
        <w:t xml:space="preserve"> обов’язків.</w:t>
      </w:r>
      <w:r w:rsidR="00D315FE">
        <w:rPr>
          <w:rFonts w:ascii="Times New Roman" w:hAnsi="Times New Roman"/>
          <w:sz w:val="28"/>
          <w:szCs w:val="28"/>
        </w:rPr>
        <w:t xml:space="preserve"> </w:t>
      </w:r>
      <w:r w:rsidR="000E013C">
        <w:rPr>
          <w:rFonts w:ascii="Times New Roman" w:hAnsi="Times New Roman"/>
          <w:sz w:val="28"/>
          <w:szCs w:val="28"/>
        </w:rPr>
        <w:t>Крім того, будь-яких відомостей та документів, що саме  прокурор</w:t>
      </w:r>
      <w:r w:rsidR="00864C08">
        <w:rPr>
          <w:rFonts w:ascii="Times New Roman" w:hAnsi="Times New Roman"/>
          <w:sz w:val="28"/>
          <w:szCs w:val="28"/>
        </w:rPr>
        <w:t>о</w:t>
      </w:r>
      <w:r w:rsidR="000E013C">
        <w:rPr>
          <w:rFonts w:ascii="Times New Roman" w:hAnsi="Times New Roman"/>
          <w:sz w:val="28"/>
          <w:szCs w:val="28"/>
        </w:rPr>
        <w:t xml:space="preserve">м </w:t>
      </w:r>
      <w:r w:rsidR="00BF5EB5">
        <w:rPr>
          <w:rFonts w:ascii="Times New Roman" w:hAnsi="Times New Roman"/>
          <w:sz w:val="28"/>
          <w:szCs w:val="28"/>
        </w:rPr>
        <w:t xml:space="preserve">                  </w:t>
      </w:r>
      <w:r w:rsidR="000E013C">
        <w:rPr>
          <w:rFonts w:ascii="Times New Roman" w:hAnsi="Times New Roman"/>
          <w:sz w:val="28"/>
          <w:szCs w:val="28"/>
        </w:rPr>
        <w:t xml:space="preserve">Михайловою Е.Є. здійснюється процесуальне керівництво у вказаному кримінальному провадженні до скарги не долучено. </w:t>
      </w:r>
    </w:p>
    <w:p w14:paraId="438060E7" w14:textId="77777777" w:rsidR="00B0128E" w:rsidRPr="00E319DA" w:rsidRDefault="00B0128E" w:rsidP="00B0128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01C7C55C" w14:textId="77777777" w:rsidR="003C2A60" w:rsidRDefault="00FE3980" w:rsidP="003C2A6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0E013C">
        <w:rPr>
          <w:rFonts w:ascii="Times New Roman" w:hAnsi="Times New Roman" w:cs="Calibri"/>
          <w:sz w:val="28"/>
        </w:rPr>
        <w:t xml:space="preserve">ом Михайловою Е.Є. </w:t>
      </w:r>
      <w:r w:rsidRPr="00FE3980">
        <w:rPr>
          <w:rFonts w:ascii="Times New Roman" w:hAnsi="Times New Roman" w:cs="Calibri"/>
          <w:sz w:val="28"/>
        </w:rPr>
        <w:t xml:space="preserve">про вчинення </w:t>
      </w:r>
      <w:r w:rsidR="000E013C">
        <w:rPr>
          <w:rFonts w:ascii="Times New Roman" w:hAnsi="Times New Roman" w:cs="Calibri"/>
          <w:sz w:val="28"/>
        </w:rPr>
        <w:t xml:space="preserve">нею </w:t>
      </w:r>
      <w:r w:rsidRPr="00FE3980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відповідальності.</w:t>
      </w:r>
    </w:p>
    <w:p w14:paraId="1DA2955B" w14:textId="1CAD09CF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C2A60">
        <w:rPr>
          <w:rFonts w:ascii="Times New Roman" w:hAnsi="Times New Roman" w:cs="Calibri"/>
          <w:sz w:val="28"/>
        </w:rPr>
        <w:t>Твердження скаржни</w:t>
      </w:r>
      <w:r w:rsidR="000E013C" w:rsidRPr="003C2A60">
        <w:rPr>
          <w:rFonts w:ascii="Times New Roman" w:hAnsi="Times New Roman" w:cs="Calibri"/>
          <w:sz w:val="28"/>
        </w:rPr>
        <w:t>ка</w:t>
      </w:r>
      <w:r w:rsidRPr="003C2A60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824A38" w:rsidRPr="00056DB3">
        <w:rPr>
          <w:rFonts w:ascii="Times New Roman" w:hAnsi="Times New Roman" w:cs="Calibri"/>
          <w:sz w:val="28"/>
        </w:rPr>
        <w:t xml:space="preserve">зазначеними </w:t>
      </w:r>
      <w:r w:rsidR="00150999" w:rsidRPr="00056DB3">
        <w:rPr>
          <w:rFonts w:ascii="Times New Roman" w:hAnsi="Times New Roman" w:cs="Calibri"/>
          <w:sz w:val="28"/>
        </w:rPr>
        <w:t>прокурор</w:t>
      </w:r>
      <w:r w:rsidR="00BF5EB5" w:rsidRPr="00056DB3">
        <w:rPr>
          <w:rFonts w:ascii="Times New Roman" w:hAnsi="Times New Roman" w:cs="Calibri"/>
          <w:sz w:val="28"/>
        </w:rPr>
        <w:t xml:space="preserve">ом </w:t>
      </w:r>
      <w:r w:rsidRPr="00056DB3">
        <w:rPr>
          <w:rFonts w:ascii="Times New Roman" w:hAnsi="Times New Roman" w:cs="Calibri"/>
          <w:sz w:val="28"/>
        </w:rPr>
        <w:t xml:space="preserve">службових обов’язків, </w:t>
      </w:r>
      <w:r w:rsidR="000E013C" w:rsidRPr="00056DB3">
        <w:rPr>
          <w:rFonts w:ascii="Times New Roman" w:hAnsi="Times New Roman" w:cs="Calibri"/>
          <w:sz w:val="28"/>
        </w:rPr>
        <w:t xml:space="preserve">а також  </w:t>
      </w:r>
      <w:r w:rsidR="003C2A60" w:rsidRPr="00056DB3">
        <w:rPr>
          <w:rFonts w:ascii="Times New Roman" w:hAnsi="Times New Roman" w:cs="Calibri"/>
          <w:sz w:val="28"/>
        </w:rPr>
        <w:t>необґрунтоване</w:t>
      </w:r>
      <w:r w:rsidR="000E013C" w:rsidRPr="00056DB3">
        <w:rPr>
          <w:rFonts w:ascii="Times New Roman" w:hAnsi="Times New Roman" w:cs="Calibri"/>
          <w:sz w:val="28"/>
        </w:rPr>
        <w:t xml:space="preserve"> зволікання з розглядом звернення</w:t>
      </w:r>
      <w:r w:rsidR="000E013C" w:rsidRPr="003C2A60">
        <w:rPr>
          <w:rFonts w:ascii="Times New Roman" w:hAnsi="Times New Roman" w:cs="Calibri"/>
          <w:sz w:val="28"/>
        </w:rPr>
        <w:t xml:space="preserve"> та </w:t>
      </w:r>
      <w:bookmarkStart w:id="12" w:name="_Hlk187653112"/>
      <w:r w:rsidR="003C2A60" w:rsidRPr="003C2A60">
        <w:rPr>
          <w:rFonts w:ascii="Times New Roman" w:eastAsia="Times New Roman" w:hAnsi="Times New Roman"/>
          <w:sz w:val="28"/>
          <w:szCs w:val="28"/>
          <w:lang w:eastAsia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bookmarkEnd w:id="12"/>
      <w:r w:rsidR="003C2A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E3980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014885C6" w14:textId="0C7C6B6B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З огляду на наведені обставини доходжу висновку про необхідність відмови у відкритті дисциплінарного провадження стосовно </w:t>
      </w:r>
      <w:r w:rsidR="008D5288">
        <w:rPr>
          <w:rFonts w:ascii="Times New Roman" w:hAnsi="Times New Roman" w:cs="Calibri"/>
          <w:sz w:val="28"/>
        </w:rPr>
        <w:t>прокурора Михайлової Е.Є.</w:t>
      </w:r>
    </w:p>
    <w:p w14:paraId="69603628" w14:textId="77777777" w:rsidR="006F1A90" w:rsidRDefault="00FE3980" w:rsidP="006F1A9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45CDF3C8" w14:textId="08335F9A" w:rsidR="00AC16D3" w:rsidRDefault="00431EA2" w:rsidP="009658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E2119E">
        <w:rPr>
          <w:rFonts w:ascii="Times New Roman" w:hAnsi="Times New Roman"/>
          <w:sz w:val="28"/>
          <w:szCs w:val="28"/>
        </w:rPr>
        <w:t>прокурор</w:t>
      </w:r>
      <w:r w:rsidR="003C2A60">
        <w:rPr>
          <w:rFonts w:ascii="Times New Roman" w:hAnsi="Times New Roman"/>
          <w:sz w:val="28"/>
          <w:szCs w:val="28"/>
        </w:rPr>
        <w:t xml:space="preserve">а Приморської </w:t>
      </w:r>
      <w:r w:rsidR="00824A38">
        <w:rPr>
          <w:rFonts w:ascii="Times New Roman" w:hAnsi="Times New Roman"/>
          <w:sz w:val="28"/>
          <w:szCs w:val="28"/>
        </w:rPr>
        <w:t xml:space="preserve">окружної прокуратури </w:t>
      </w:r>
      <w:r w:rsidR="00E2119E">
        <w:rPr>
          <w:rFonts w:ascii="Times New Roman" w:hAnsi="Times New Roman"/>
          <w:sz w:val="28"/>
          <w:szCs w:val="28"/>
        </w:rPr>
        <w:t xml:space="preserve">міста </w:t>
      </w:r>
      <w:r w:rsidR="003C2A60">
        <w:rPr>
          <w:rFonts w:ascii="Times New Roman" w:hAnsi="Times New Roman"/>
          <w:sz w:val="28"/>
          <w:szCs w:val="28"/>
        </w:rPr>
        <w:t>Одеси Одеської області Михайлової Емми Євгеніївни.</w:t>
      </w:r>
      <w:r w:rsidR="00E2119E">
        <w:rPr>
          <w:rFonts w:ascii="Times New Roman" w:hAnsi="Times New Roman"/>
          <w:sz w:val="28"/>
          <w:szCs w:val="28"/>
        </w:rPr>
        <w:t xml:space="preserve"> </w:t>
      </w:r>
    </w:p>
    <w:p w14:paraId="090E087D" w14:textId="61695BFC" w:rsidR="001230AA" w:rsidRDefault="001D773C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3C2A60">
        <w:rPr>
          <w:rFonts w:ascii="Times New Roman" w:hAnsi="Times New Roman"/>
          <w:sz w:val="28"/>
          <w:szCs w:val="28"/>
        </w:rPr>
        <w:t>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3C2A6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</w:t>
      </w:r>
      <w:r w:rsidR="003C2A60">
        <w:rPr>
          <w:rFonts w:ascii="Times New Roman" w:hAnsi="Times New Roman"/>
          <w:sz w:val="28"/>
          <w:szCs w:val="28"/>
        </w:rPr>
        <w:t xml:space="preserve">ого </w:t>
      </w:r>
      <w:r w:rsidR="006A5570">
        <w:rPr>
          <w:rFonts w:ascii="Times New Roman" w:hAnsi="Times New Roman"/>
          <w:sz w:val="28"/>
          <w:szCs w:val="28"/>
        </w:rPr>
        <w:t>воно прийняте.</w:t>
      </w:r>
    </w:p>
    <w:p w14:paraId="3AAEE30D" w14:textId="77777777" w:rsidR="00056DB3" w:rsidRPr="00056DB3" w:rsidRDefault="00056DB3" w:rsidP="00056DB3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8749399" w14:textId="355E0937" w:rsidR="00824A38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24A38">
        <w:rPr>
          <w:rFonts w:ascii="Times New Roman" w:hAnsi="Times New Roman"/>
          <w:b/>
          <w:sz w:val="28"/>
          <w:szCs w:val="28"/>
        </w:rPr>
        <w:t xml:space="preserve">Дмитро КУРИЛЕНКО </w:t>
      </w:r>
    </w:p>
    <w:sectPr w:rsidR="00824A38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1D6A" w14:textId="77777777" w:rsidR="00932643" w:rsidRDefault="00932643" w:rsidP="00E32F4B">
      <w:pPr>
        <w:spacing w:after="0" w:line="240" w:lineRule="auto"/>
      </w:pPr>
      <w:r>
        <w:separator/>
      </w:r>
    </w:p>
  </w:endnote>
  <w:endnote w:type="continuationSeparator" w:id="0">
    <w:p w14:paraId="185DD07E" w14:textId="77777777" w:rsidR="00932643" w:rsidRDefault="00932643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117E" w14:textId="77777777" w:rsidR="00932643" w:rsidRDefault="00932643" w:rsidP="00E32F4B">
      <w:pPr>
        <w:spacing w:after="0" w:line="240" w:lineRule="auto"/>
      </w:pPr>
      <w:r>
        <w:separator/>
      </w:r>
    </w:p>
  </w:footnote>
  <w:footnote w:type="continuationSeparator" w:id="0">
    <w:p w14:paraId="6D9653E4" w14:textId="77777777" w:rsidR="00932643" w:rsidRDefault="00932643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B9011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4B" w:rsidRPr="00A6624B">
          <w:rPr>
            <w:noProof/>
            <w:lang w:val="ru-RU"/>
          </w:rPr>
          <w:t>7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0ACA"/>
    <w:rsid w:val="0001136C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56DB3"/>
    <w:rsid w:val="00060180"/>
    <w:rsid w:val="00061E56"/>
    <w:rsid w:val="000623D1"/>
    <w:rsid w:val="0006440C"/>
    <w:rsid w:val="000666D1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6E1"/>
    <w:rsid w:val="000B5193"/>
    <w:rsid w:val="000B543B"/>
    <w:rsid w:val="000B74CB"/>
    <w:rsid w:val="000C20C4"/>
    <w:rsid w:val="000C691C"/>
    <w:rsid w:val="000C6990"/>
    <w:rsid w:val="000D204E"/>
    <w:rsid w:val="000D4954"/>
    <w:rsid w:val="000D68C6"/>
    <w:rsid w:val="000E013C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20F75"/>
    <w:rsid w:val="00222AE4"/>
    <w:rsid w:val="002242C6"/>
    <w:rsid w:val="00225C72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40DC"/>
    <w:rsid w:val="00255336"/>
    <w:rsid w:val="0026238E"/>
    <w:rsid w:val="00264730"/>
    <w:rsid w:val="00265D51"/>
    <w:rsid w:val="002669D5"/>
    <w:rsid w:val="002718B3"/>
    <w:rsid w:val="00277C80"/>
    <w:rsid w:val="00281763"/>
    <w:rsid w:val="00283287"/>
    <w:rsid w:val="00283C2B"/>
    <w:rsid w:val="0028534E"/>
    <w:rsid w:val="00287C24"/>
    <w:rsid w:val="002923C2"/>
    <w:rsid w:val="00292622"/>
    <w:rsid w:val="00292F5B"/>
    <w:rsid w:val="002A38EB"/>
    <w:rsid w:val="002A6DAF"/>
    <w:rsid w:val="002B1093"/>
    <w:rsid w:val="002B1589"/>
    <w:rsid w:val="002B2935"/>
    <w:rsid w:val="002B2BE1"/>
    <w:rsid w:val="002B304E"/>
    <w:rsid w:val="002B342B"/>
    <w:rsid w:val="002B6879"/>
    <w:rsid w:val="002C598B"/>
    <w:rsid w:val="002C7453"/>
    <w:rsid w:val="002D534B"/>
    <w:rsid w:val="002E0D19"/>
    <w:rsid w:val="002E2687"/>
    <w:rsid w:val="002E6DD8"/>
    <w:rsid w:val="002F1921"/>
    <w:rsid w:val="002F41E3"/>
    <w:rsid w:val="002F4314"/>
    <w:rsid w:val="002F43BB"/>
    <w:rsid w:val="002F78D6"/>
    <w:rsid w:val="003007B0"/>
    <w:rsid w:val="00301E3A"/>
    <w:rsid w:val="00305D49"/>
    <w:rsid w:val="003119DF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83C09"/>
    <w:rsid w:val="00396316"/>
    <w:rsid w:val="00397080"/>
    <w:rsid w:val="003A0955"/>
    <w:rsid w:val="003A09E1"/>
    <w:rsid w:val="003A710E"/>
    <w:rsid w:val="003B6D87"/>
    <w:rsid w:val="003C2A60"/>
    <w:rsid w:val="003C4D52"/>
    <w:rsid w:val="003C7EA2"/>
    <w:rsid w:val="003D15B0"/>
    <w:rsid w:val="003D43B7"/>
    <w:rsid w:val="003D7298"/>
    <w:rsid w:val="003E0F1C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68FF"/>
    <w:rsid w:val="00417481"/>
    <w:rsid w:val="00421AF0"/>
    <w:rsid w:val="00424D48"/>
    <w:rsid w:val="00431EA2"/>
    <w:rsid w:val="004357A5"/>
    <w:rsid w:val="004434EE"/>
    <w:rsid w:val="004437B1"/>
    <w:rsid w:val="00443DDF"/>
    <w:rsid w:val="00443F4B"/>
    <w:rsid w:val="00446608"/>
    <w:rsid w:val="00456D29"/>
    <w:rsid w:val="00456F1E"/>
    <w:rsid w:val="004611D2"/>
    <w:rsid w:val="00461F5A"/>
    <w:rsid w:val="00462AE9"/>
    <w:rsid w:val="004630DF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B0E65"/>
    <w:rsid w:val="004B73B2"/>
    <w:rsid w:val="004C1319"/>
    <w:rsid w:val="004C4BAF"/>
    <w:rsid w:val="004D23F4"/>
    <w:rsid w:val="004D3A71"/>
    <w:rsid w:val="004D3AC3"/>
    <w:rsid w:val="004E06E7"/>
    <w:rsid w:val="004E09AD"/>
    <w:rsid w:val="004E3137"/>
    <w:rsid w:val="004F5D25"/>
    <w:rsid w:val="0051032D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0E6D"/>
    <w:rsid w:val="00552370"/>
    <w:rsid w:val="00552DF4"/>
    <w:rsid w:val="005540ED"/>
    <w:rsid w:val="005556A4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304A5"/>
    <w:rsid w:val="00630DD1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4A38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6D71"/>
    <w:rsid w:val="008600F4"/>
    <w:rsid w:val="008613CB"/>
    <w:rsid w:val="008642A5"/>
    <w:rsid w:val="00864C08"/>
    <w:rsid w:val="00865EB8"/>
    <w:rsid w:val="00870CBC"/>
    <w:rsid w:val="00874994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C70FE"/>
    <w:rsid w:val="008D0CA9"/>
    <w:rsid w:val="008D21F4"/>
    <w:rsid w:val="008D5288"/>
    <w:rsid w:val="008D59A3"/>
    <w:rsid w:val="008D5DF0"/>
    <w:rsid w:val="008D769D"/>
    <w:rsid w:val="008E198D"/>
    <w:rsid w:val="008E254A"/>
    <w:rsid w:val="008F666B"/>
    <w:rsid w:val="009000E7"/>
    <w:rsid w:val="00905DC1"/>
    <w:rsid w:val="00907592"/>
    <w:rsid w:val="00926B77"/>
    <w:rsid w:val="00926CF0"/>
    <w:rsid w:val="00926EB0"/>
    <w:rsid w:val="00932643"/>
    <w:rsid w:val="009377ED"/>
    <w:rsid w:val="00941AC4"/>
    <w:rsid w:val="0094342F"/>
    <w:rsid w:val="00943C5B"/>
    <w:rsid w:val="00944E5F"/>
    <w:rsid w:val="00945B56"/>
    <w:rsid w:val="009470D2"/>
    <w:rsid w:val="00953052"/>
    <w:rsid w:val="00955B5F"/>
    <w:rsid w:val="009560C8"/>
    <w:rsid w:val="00962B9C"/>
    <w:rsid w:val="00965265"/>
    <w:rsid w:val="0096584F"/>
    <w:rsid w:val="00975351"/>
    <w:rsid w:val="009929EF"/>
    <w:rsid w:val="009A12AE"/>
    <w:rsid w:val="009A21E6"/>
    <w:rsid w:val="009A478A"/>
    <w:rsid w:val="009C1DCD"/>
    <w:rsid w:val="009C690A"/>
    <w:rsid w:val="009D6AD4"/>
    <w:rsid w:val="009D6FEF"/>
    <w:rsid w:val="009D7092"/>
    <w:rsid w:val="009E2A89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483C"/>
    <w:rsid w:val="00A2513B"/>
    <w:rsid w:val="00A26AB7"/>
    <w:rsid w:val="00A320D7"/>
    <w:rsid w:val="00A33632"/>
    <w:rsid w:val="00A4065C"/>
    <w:rsid w:val="00A41C21"/>
    <w:rsid w:val="00A4214A"/>
    <w:rsid w:val="00A513CF"/>
    <w:rsid w:val="00A53468"/>
    <w:rsid w:val="00A55660"/>
    <w:rsid w:val="00A57ED1"/>
    <w:rsid w:val="00A6401C"/>
    <w:rsid w:val="00A65F38"/>
    <w:rsid w:val="00A6624B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8CA"/>
    <w:rsid w:val="00AE7911"/>
    <w:rsid w:val="00B0128E"/>
    <w:rsid w:val="00B0551C"/>
    <w:rsid w:val="00B07215"/>
    <w:rsid w:val="00B119B1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95284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4A63"/>
    <w:rsid w:val="00BD5AB5"/>
    <w:rsid w:val="00BE4AD1"/>
    <w:rsid w:val="00BE6995"/>
    <w:rsid w:val="00BF2D75"/>
    <w:rsid w:val="00BF5EB5"/>
    <w:rsid w:val="00C02F8D"/>
    <w:rsid w:val="00C11811"/>
    <w:rsid w:val="00C17904"/>
    <w:rsid w:val="00C2031F"/>
    <w:rsid w:val="00C2152C"/>
    <w:rsid w:val="00C222CF"/>
    <w:rsid w:val="00C259A6"/>
    <w:rsid w:val="00C3327E"/>
    <w:rsid w:val="00C37919"/>
    <w:rsid w:val="00C45B36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700B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15FE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43E6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119E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75AA"/>
    <w:rsid w:val="00ED0923"/>
    <w:rsid w:val="00ED09D9"/>
    <w:rsid w:val="00ED1941"/>
    <w:rsid w:val="00ED26D4"/>
    <w:rsid w:val="00EE0EB6"/>
    <w:rsid w:val="00EE4408"/>
    <w:rsid w:val="00EF1BE6"/>
    <w:rsid w:val="00EF2244"/>
    <w:rsid w:val="00F0030D"/>
    <w:rsid w:val="00F012E3"/>
    <w:rsid w:val="00F05009"/>
    <w:rsid w:val="00F14748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56573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7CE1-CD7B-40BC-A428-8B36EE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10493</Words>
  <Characters>5982</Characters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2025-05-15T14:15:00Z</cp:lastPrinted>
  <dcterms:created xsi:type="dcterms:W3CDTF">2025-05-08T13:45:00Z</dcterms:created>
  <dcterms:modified xsi:type="dcterms:W3CDTF">2025-06-10T11:08:00Z</dcterms:modified>
</cp:coreProperties>
</file>