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400"/>
        <w:gridCol w:w="3180"/>
        <w:gridCol w:w="3382"/>
      </w:tblGrid>
      <w:tr w:rsidR="009E0DA9" w:rsidRPr="00E04D05" w:rsidTr="005734C7">
        <w:tc>
          <w:tcPr>
            <w:tcW w:w="9962" w:type="dxa"/>
            <w:gridSpan w:val="3"/>
            <w:shd w:val="clear" w:color="auto" w:fill="auto"/>
          </w:tcPr>
          <w:p w:rsidR="009E0DA9" w:rsidRPr="002F4949" w:rsidRDefault="009E0DA9" w:rsidP="005734C7">
            <w:pPr>
              <w:tabs>
                <w:tab w:val="center" w:pos="0"/>
                <w:tab w:val="right" w:pos="8306"/>
              </w:tabs>
              <w:overflowPunct w:val="0"/>
              <w:autoSpaceDE w:val="0"/>
              <w:autoSpaceDN w:val="0"/>
              <w:adjustRightInd w:val="0"/>
              <w:spacing w:after="0" w:line="240" w:lineRule="auto"/>
              <w:ind w:right="-284" w:hanging="539"/>
              <w:jc w:val="center"/>
              <w:textAlignment w:val="baseline"/>
              <w:rPr>
                <w:rFonts w:ascii="Times New Roman" w:eastAsia="Times New Roman" w:hAnsi="Times New Roman" w:cs="Times New Roman"/>
                <w:sz w:val="26"/>
                <w:szCs w:val="20"/>
                <w:lang w:val="uk-UA" w:eastAsia="ru-RU"/>
              </w:rPr>
            </w:pPr>
            <w:r w:rsidRPr="002F4949">
              <w:rPr>
                <w:rFonts w:ascii="Times New Roman" w:eastAsia="Times New Roman" w:hAnsi="Times New Roman" w:cs="Times New Roman"/>
                <w:noProof/>
                <w:sz w:val="19"/>
                <w:szCs w:val="20"/>
                <w:lang w:eastAsia="ru-RU"/>
              </w:rPr>
              <w:drawing>
                <wp:inline distT="0" distB="0" distL="0" distR="0" wp14:anchorId="691BA786" wp14:editId="64F6C14E">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9E0DA9" w:rsidRPr="002F4949" w:rsidRDefault="009E0DA9" w:rsidP="005734C7">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val="uk-UA" w:eastAsia="ru-RU"/>
              </w:rPr>
            </w:pPr>
          </w:p>
          <w:p w:rsidR="009E0DA9" w:rsidRPr="002F4949" w:rsidRDefault="009E0DA9" w:rsidP="005734C7">
            <w:pPr>
              <w:spacing w:after="0" w:line="240" w:lineRule="auto"/>
              <w:ind w:right="-284"/>
              <w:jc w:val="center"/>
              <w:rPr>
                <w:rFonts w:ascii="Times New Roman" w:eastAsia="Times New Roman" w:hAnsi="Times New Roman" w:cs="Times New Roman"/>
                <w:kern w:val="28"/>
                <w:sz w:val="32"/>
                <w:szCs w:val="32"/>
                <w:lang w:val="uk-UA" w:eastAsia="ru-RU"/>
              </w:rPr>
            </w:pPr>
            <w:r w:rsidRPr="002F4949">
              <w:rPr>
                <w:rFonts w:ascii="Times New Roman" w:eastAsia="Times New Roman" w:hAnsi="Times New Roman" w:cs="Times New Roman"/>
                <w:bCs/>
                <w:kern w:val="28"/>
                <w:sz w:val="36"/>
                <w:szCs w:val="32"/>
                <w:lang w:val="uk-UA" w:eastAsia="ru-RU"/>
              </w:rPr>
              <w:t xml:space="preserve">КВАЛІФІКАЦІЙНО-ДИСЦИПЛІНАРНА </w:t>
            </w:r>
            <w:r w:rsidRPr="002F4949">
              <w:rPr>
                <w:rFonts w:ascii="Times New Roman" w:eastAsia="Times New Roman" w:hAnsi="Times New Roman" w:cs="Times New Roman"/>
                <w:bCs/>
                <w:kern w:val="28"/>
                <w:sz w:val="36"/>
                <w:szCs w:val="32"/>
                <w:lang w:val="uk-UA" w:eastAsia="ru-RU"/>
              </w:rPr>
              <w:br/>
              <w:t>КОМІСІЯ ПРОКУРОРІВ</w:t>
            </w:r>
          </w:p>
          <w:p w:rsidR="009E0DA9" w:rsidRPr="002F4949" w:rsidRDefault="009E0DA9" w:rsidP="005734C7">
            <w:pPr>
              <w:spacing w:after="0" w:line="240" w:lineRule="auto"/>
              <w:ind w:left="84" w:right="-284"/>
              <w:rPr>
                <w:rFonts w:ascii="Times New Roman" w:eastAsia="Times New Roman" w:hAnsi="Times New Roman" w:cs="Times New Roman"/>
                <w:kern w:val="28"/>
                <w:sz w:val="28"/>
                <w:szCs w:val="28"/>
                <w:lang w:val="uk-UA" w:eastAsia="uk-UA"/>
              </w:rPr>
            </w:pPr>
          </w:p>
          <w:p w:rsidR="009E0DA9" w:rsidRPr="00E04D05" w:rsidRDefault="009E0DA9" w:rsidP="005734C7">
            <w:pPr>
              <w:spacing w:after="0" w:line="240" w:lineRule="auto"/>
              <w:ind w:left="84" w:right="-284" w:hanging="339"/>
              <w:jc w:val="center"/>
              <w:rPr>
                <w:rFonts w:ascii="Times New Roman" w:eastAsia="Calibri" w:hAnsi="Times New Roman" w:cs="Times New Roman"/>
                <w:sz w:val="28"/>
                <w:szCs w:val="28"/>
                <w:lang w:val="uk-UA"/>
              </w:rPr>
            </w:pPr>
            <w:r w:rsidRPr="002F4949">
              <w:rPr>
                <w:rFonts w:ascii="Times New Roman" w:eastAsia="Times New Roman" w:hAnsi="Times New Roman" w:cs="Times New Roman"/>
                <w:b/>
                <w:kern w:val="28"/>
                <w:sz w:val="28"/>
                <w:szCs w:val="28"/>
                <w:lang w:val="uk-UA" w:eastAsia="uk-UA"/>
              </w:rPr>
              <w:t xml:space="preserve">Р І Ш Е Н </w:t>
            </w:r>
            <w:proofErr w:type="spellStart"/>
            <w:r w:rsidRPr="002F4949">
              <w:rPr>
                <w:rFonts w:ascii="Times New Roman" w:eastAsia="Times New Roman" w:hAnsi="Times New Roman" w:cs="Times New Roman"/>
                <w:b/>
                <w:kern w:val="28"/>
                <w:sz w:val="28"/>
                <w:szCs w:val="28"/>
                <w:lang w:val="uk-UA" w:eastAsia="uk-UA"/>
              </w:rPr>
              <w:t>Н</w:t>
            </w:r>
            <w:proofErr w:type="spellEnd"/>
            <w:r w:rsidRPr="002F4949">
              <w:rPr>
                <w:rFonts w:ascii="Times New Roman" w:eastAsia="Times New Roman" w:hAnsi="Times New Roman" w:cs="Times New Roman"/>
                <w:b/>
                <w:kern w:val="28"/>
                <w:sz w:val="28"/>
                <w:szCs w:val="28"/>
                <w:lang w:val="uk-UA" w:eastAsia="uk-UA"/>
              </w:rPr>
              <w:t xml:space="preserve"> Я</w:t>
            </w:r>
          </w:p>
        </w:tc>
      </w:tr>
      <w:tr w:rsidR="009E0DA9" w:rsidRPr="00E04D05" w:rsidTr="005734C7">
        <w:tc>
          <w:tcPr>
            <w:tcW w:w="3400" w:type="dxa"/>
            <w:shd w:val="clear" w:color="auto" w:fill="auto"/>
            <w:hideMark/>
          </w:tcPr>
          <w:p w:rsidR="009E0DA9" w:rsidRDefault="009E0DA9" w:rsidP="005734C7">
            <w:pPr>
              <w:spacing w:after="0" w:line="240" w:lineRule="auto"/>
              <w:ind w:left="-109" w:right="-284"/>
              <w:rPr>
                <w:rFonts w:ascii="Times New Roman" w:eastAsia="Calibri" w:hAnsi="Times New Roman" w:cs="Times New Roman"/>
                <w:b/>
                <w:sz w:val="28"/>
                <w:szCs w:val="28"/>
                <w:lang w:val="uk-UA"/>
              </w:rPr>
            </w:pPr>
          </w:p>
          <w:p w:rsidR="009E0DA9" w:rsidRPr="00E04D05" w:rsidRDefault="009E0DA9" w:rsidP="005734C7">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01 серпня</w:t>
            </w:r>
            <w:r w:rsidRPr="000A38AE">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E04D05">
              <w:rPr>
                <w:rFonts w:ascii="Times New Roman" w:eastAsia="Calibri" w:hAnsi="Times New Roman" w:cs="Times New Roman"/>
                <w:b/>
                <w:sz w:val="28"/>
                <w:szCs w:val="28"/>
                <w:lang w:val="uk-UA"/>
              </w:rPr>
              <w:t xml:space="preserve"> року</w:t>
            </w:r>
          </w:p>
        </w:tc>
        <w:tc>
          <w:tcPr>
            <w:tcW w:w="3180" w:type="dxa"/>
            <w:shd w:val="clear" w:color="auto" w:fill="auto"/>
            <w:hideMark/>
          </w:tcPr>
          <w:p w:rsidR="009E0DA9" w:rsidRDefault="009E0DA9" w:rsidP="005734C7">
            <w:pPr>
              <w:spacing w:after="0" w:line="240" w:lineRule="auto"/>
              <w:ind w:right="-284" w:hanging="387"/>
              <w:jc w:val="center"/>
              <w:rPr>
                <w:rFonts w:ascii="Times New Roman" w:eastAsia="Calibri" w:hAnsi="Times New Roman" w:cs="Times New Roman"/>
                <w:b/>
                <w:sz w:val="28"/>
                <w:szCs w:val="28"/>
                <w:lang w:val="uk-UA"/>
              </w:rPr>
            </w:pPr>
          </w:p>
          <w:p w:rsidR="009E0DA9" w:rsidRPr="00E04D05" w:rsidRDefault="009E0DA9" w:rsidP="005734C7">
            <w:pPr>
              <w:spacing w:after="0" w:line="240" w:lineRule="auto"/>
              <w:ind w:right="-284" w:hanging="671"/>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Київ</w:t>
            </w:r>
          </w:p>
        </w:tc>
        <w:tc>
          <w:tcPr>
            <w:tcW w:w="3382" w:type="dxa"/>
            <w:shd w:val="clear" w:color="auto" w:fill="auto"/>
            <w:hideMark/>
          </w:tcPr>
          <w:p w:rsidR="009E0DA9" w:rsidRDefault="009E0DA9" w:rsidP="005734C7">
            <w:pPr>
              <w:spacing w:after="0" w:line="240" w:lineRule="auto"/>
              <w:ind w:right="-284"/>
              <w:jc w:val="both"/>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p>
          <w:p w:rsidR="009E0DA9" w:rsidRPr="00E04D05" w:rsidRDefault="009E0DA9" w:rsidP="005734C7">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w:t>
            </w:r>
            <w:r>
              <w:rPr>
                <w:rFonts w:ascii="Times New Roman" w:eastAsia="Calibri" w:hAnsi="Times New Roman" w:cs="Times New Roman"/>
                <w:b/>
                <w:sz w:val="28"/>
                <w:szCs w:val="28"/>
                <w:lang w:val="uk-UA"/>
              </w:rPr>
              <w:t> 876</w:t>
            </w:r>
            <w:r w:rsidRPr="00E04D05">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tc>
      </w:tr>
    </w:tbl>
    <w:p w:rsidR="009E0DA9" w:rsidRDefault="009E0DA9" w:rsidP="009E0DA9">
      <w:pPr>
        <w:spacing w:after="0" w:line="240" w:lineRule="auto"/>
        <w:ind w:right="-284"/>
        <w:contextualSpacing/>
        <w:rPr>
          <w:rFonts w:ascii="Times New Roman" w:eastAsia="Calibri" w:hAnsi="Times New Roman" w:cs="Times New Roman"/>
          <w:b/>
          <w:noProof/>
          <w:sz w:val="28"/>
          <w:szCs w:val="28"/>
          <w:lang w:val="uk-UA" w:eastAsia="uk-UA"/>
        </w:rPr>
      </w:pPr>
    </w:p>
    <w:p w:rsidR="009E0DA9" w:rsidRPr="001E4CEF" w:rsidRDefault="009E0DA9" w:rsidP="009E0DA9">
      <w:pPr>
        <w:spacing w:after="0" w:line="240" w:lineRule="auto"/>
        <w:ind w:right="-284"/>
        <w:contextualSpacing/>
        <w:rPr>
          <w:rFonts w:ascii="Times New Roman" w:eastAsia="Calibri" w:hAnsi="Times New Roman" w:cs="Times New Roman"/>
          <w:b/>
          <w:noProof/>
          <w:sz w:val="16"/>
          <w:szCs w:val="16"/>
          <w:lang w:val="uk-UA" w:eastAsia="uk-UA"/>
        </w:rPr>
      </w:pPr>
    </w:p>
    <w:p w:rsidR="009E0DA9" w:rsidRDefault="009E0DA9" w:rsidP="009E0DA9">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Про відмову у відкритті</w:t>
      </w:r>
    </w:p>
    <w:p w:rsidR="009E0DA9" w:rsidRDefault="009E0DA9" w:rsidP="009E0DA9">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дисциплінарного провадження</w:t>
      </w:r>
    </w:p>
    <w:p w:rsidR="009E0DA9" w:rsidRDefault="009E0DA9" w:rsidP="009E0DA9">
      <w:pPr>
        <w:spacing w:after="0" w:line="240" w:lineRule="auto"/>
        <w:ind w:right="-284"/>
        <w:contextualSpacing/>
        <w:rPr>
          <w:rFonts w:ascii="Times New Roman" w:eastAsia="Calibri" w:hAnsi="Times New Roman" w:cs="Times New Roman"/>
          <w:b/>
          <w:noProof/>
          <w:sz w:val="28"/>
          <w:szCs w:val="28"/>
          <w:lang w:val="uk-UA" w:eastAsia="uk-UA"/>
        </w:rPr>
      </w:pPr>
    </w:p>
    <w:p w:rsidR="009E0DA9" w:rsidRPr="001E4CEF" w:rsidRDefault="009E0DA9" w:rsidP="009E0DA9">
      <w:pPr>
        <w:spacing w:after="0" w:line="240" w:lineRule="auto"/>
        <w:ind w:right="-284"/>
        <w:contextualSpacing/>
        <w:rPr>
          <w:rFonts w:ascii="Times New Roman" w:eastAsia="Calibri" w:hAnsi="Times New Roman" w:cs="Times New Roman"/>
          <w:b/>
          <w:noProof/>
          <w:sz w:val="16"/>
          <w:szCs w:val="16"/>
          <w:lang w:val="uk-UA" w:eastAsia="uk-UA"/>
        </w:rPr>
      </w:pPr>
    </w:p>
    <w:p w:rsidR="009E0DA9" w:rsidRDefault="009E0DA9" w:rsidP="009E0DA9">
      <w:pPr>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Член Кваліфікаційно-дисциплінарної комісії прокурорів Гарбуза Н.В., розглянувши</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дисциплінарну скаргу </w:t>
      </w:r>
      <w:r w:rsidR="00147B13">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стосовно прокурора  Дергачівської окружної прокуратури Харківської області Харченка С.Г. (далі – прокурор, Харченко С.Г.),</w:t>
      </w:r>
      <w:r>
        <w:rPr>
          <w:rFonts w:ascii="Times New Roman" w:eastAsia="Calibri" w:hAnsi="Times New Roman" w:cs="Times New Roman"/>
          <w:sz w:val="28"/>
          <w:szCs w:val="28"/>
          <w:lang w:val="uk-UA"/>
        </w:rPr>
        <w:t xml:space="preserve"> </w:t>
      </w:r>
    </w:p>
    <w:p w:rsidR="009E0DA9" w:rsidRDefault="009E0DA9" w:rsidP="009E0DA9">
      <w:pPr>
        <w:spacing w:after="0" w:line="240" w:lineRule="auto"/>
        <w:ind w:right="-284"/>
        <w:contextualSpacing/>
        <w:jc w:val="center"/>
        <w:rPr>
          <w:rFonts w:ascii="Times New Roman" w:eastAsia="Calibri" w:hAnsi="Times New Roman" w:cs="Times New Roman"/>
          <w:b/>
          <w:noProof/>
          <w:sz w:val="28"/>
          <w:szCs w:val="28"/>
          <w:lang w:val="uk-UA" w:eastAsia="uk-UA"/>
        </w:rPr>
      </w:pPr>
    </w:p>
    <w:p w:rsidR="009E0DA9" w:rsidRDefault="009E0DA9" w:rsidP="009E0DA9">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 С Т А Н О В И Л А:</w:t>
      </w:r>
    </w:p>
    <w:p w:rsidR="009E0DA9" w:rsidRDefault="009E0DA9" w:rsidP="009E0DA9">
      <w:pPr>
        <w:tabs>
          <w:tab w:val="left" w:pos="567"/>
        </w:tabs>
        <w:spacing w:after="0" w:line="240" w:lineRule="auto"/>
        <w:ind w:right="-284" w:firstLine="567"/>
        <w:jc w:val="both"/>
        <w:rPr>
          <w:rFonts w:ascii="Times New Roman" w:eastAsia="Calibri" w:hAnsi="Times New Roman" w:cs="Times New Roman"/>
          <w:sz w:val="28"/>
          <w:szCs w:val="28"/>
          <w:lang w:val="uk-UA"/>
        </w:rPr>
      </w:pPr>
    </w:p>
    <w:p w:rsidR="009E0DA9" w:rsidRDefault="009E0DA9" w:rsidP="009E0DA9">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w:t>
      </w:r>
      <w:r>
        <w:rPr>
          <w:rFonts w:ascii="Times New Roman" w:eastAsia="Times New Roman" w:hAnsi="Times New Roman" w:cs="Times New Roman"/>
          <w:sz w:val="28"/>
          <w:szCs w:val="28"/>
          <w:lang w:val="uk-UA" w:eastAsia="ru-RU"/>
        </w:rPr>
        <w:t>Кваліфікаційно-дисциплінарної комісії прокурорів (далі – Комісія),</w:t>
      </w:r>
      <w:r>
        <w:rPr>
          <w:rFonts w:ascii="Times New Roman" w:eastAsia="Calibri" w:hAnsi="Times New Roman" w:cs="Times New Roman"/>
          <w:sz w:val="28"/>
          <w:szCs w:val="28"/>
          <w:lang w:val="uk-UA"/>
        </w:rPr>
        <w:t xml:space="preserve"> надійшла дисциплінарна скарга </w:t>
      </w:r>
      <w:r w:rsidR="00147B13">
        <w:rPr>
          <w:rFonts w:ascii="Times New Roman" w:eastAsia="Calibri" w:hAnsi="Times New Roman" w:cs="Times New Roman"/>
          <w:sz w:val="28"/>
          <w:szCs w:val="28"/>
          <w:lang w:val="uk-UA"/>
        </w:rPr>
        <w:t>ОСОБА 1</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(далі – скаржник) про вчинення дисциплінарного проступку прокурором Харченком С.Г</w:t>
      </w:r>
      <w:r>
        <w:rPr>
          <w:rFonts w:ascii="Times New Roman" w:eastAsia="Times New Roman" w:hAnsi="Times New Roman" w:cs="Times New Roman"/>
          <w:sz w:val="28"/>
          <w:szCs w:val="28"/>
          <w:lang w:val="uk-UA" w:eastAsia="ru-RU"/>
        </w:rPr>
        <w:t>.</w:t>
      </w:r>
    </w:p>
    <w:p w:rsidR="009E0DA9" w:rsidRPr="009C6064" w:rsidRDefault="009E0DA9" w:rsidP="009E0DA9">
      <w:pPr>
        <w:widowControl w:val="0"/>
        <w:tabs>
          <w:tab w:val="left" w:pos="567"/>
          <w:tab w:val="left" w:pos="851"/>
        </w:tabs>
        <w:spacing w:after="120" w:line="240" w:lineRule="auto"/>
        <w:ind w:right="-284" w:firstLine="709"/>
        <w:contextualSpacing/>
        <w:jc w:val="both"/>
        <w:rPr>
          <w:rFonts w:ascii="Times New Roman" w:hAnsi="Times New Roman"/>
          <w:sz w:val="28"/>
          <w:szCs w:val="28"/>
          <w:lang w:val="uk-UA"/>
        </w:rPr>
      </w:pPr>
      <w:r w:rsidRPr="009C6064">
        <w:rPr>
          <w:rFonts w:ascii="Times New Roman" w:hAnsi="Times New Roman"/>
          <w:sz w:val="28"/>
          <w:szCs w:val="28"/>
          <w:lang w:val="uk-UA"/>
        </w:rPr>
        <w:t>Автоматизованою системою розподілу</w:t>
      </w:r>
      <w:r>
        <w:rPr>
          <w:rFonts w:ascii="Times New Roman" w:hAnsi="Times New Roman"/>
          <w:sz w:val="28"/>
          <w:szCs w:val="28"/>
          <w:lang w:val="uk-UA"/>
        </w:rPr>
        <w:t xml:space="preserve"> дисциплінарних скарг</w:t>
      </w:r>
      <w:r w:rsidRPr="009C6064">
        <w:rPr>
          <w:rFonts w:ascii="Times New Roman" w:hAnsi="Times New Roman"/>
          <w:sz w:val="28"/>
          <w:szCs w:val="28"/>
          <w:lang w:val="uk-UA"/>
        </w:rPr>
        <w:t xml:space="preserve"> для вирішення питання про відкриття дисциплінарного провадження дисциплінарну скаргу </w:t>
      </w:r>
      <w:proofErr w:type="spellStart"/>
      <w:r w:rsidRPr="009C6064">
        <w:rPr>
          <w:rFonts w:ascii="Times New Roman" w:hAnsi="Times New Roman"/>
          <w:sz w:val="28"/>
          <w:szCs w:val="28"/>
          <w:lang w:val="uk-UA"/>
        </w:rPr>
        <w:t>розподілено</w:t>
      </w:r>
      <w:proofErr w:type="spellEnd"/>
      <w:r w:rsidRPr="009C6064">
        <w:rPr>
          <w:rFonts w:ascii="Times New Roman" w:hAnsi="Times New Roman"/>
          <w:sz w:val="28"/>
          <w:szCs w:val="28"/>
          <w:lang w:val="uk-UA"/>
        </w:rPr>
        <w:t xml:space="preserve"> мені</w:t>
      </w:r>
      <w:r>
        <w:rPr>
          <w:rFonts w:ascii="Times New Roman" w:hAnsi="Times New Roman"/>
          <w:sz w:val="28"/>
          <w:szCs w:val="28"/>
          <w:lang w:val="uk-UA"/>
        </w:rPr>
        <w:t xml:space="preserve"> (протокол </w:t>
      </w:r>
      <w:proofErr w:type="spellStart"/>
      <w:r>
        <w:rPr>
          <w:rFonts w:ascii="Times New Roman" w:hAnsi="Times New Roman"/>
          <w:sz w:val="28"/>
          <w:szCs w:val="28"/>
          <w:lang w:val="uk-UA"/>
        </w:rPr>
        <w:t>авторозподілу</w:t>
      </w:r>
      <w:proofErr w:type="spellEnd"/>
      <w:r>
        <w:rPr>
          <w:rFonts w:ascii="Times New Roman" w:hAnsi="Times New Roman"/>
          <w:sz w:val="28"/>
          <w:szCs w:val="28"/>
          <w:lang w:val="uk-UA"/>
        </w:rPr>
        <w:t xml:space="preserve"> від 25 липня 2025 року)</w:t>
      </w:r>
      <w:r w:rsidRPr="009C6064">
        <w:rPr>
          <w:rFonts w:ascii="Times New Roman" w:hAnsi="Times New Roman"/>
          <w:sz w:val="28"/>
          <w:szCs w:val="28"/>
          <w:lang w:val="uk-UA"/>
        </w:rPr>
        <w:t xml:space="preserve">. </w:t>
      </w:r>
    </w:p>
    <w:p w:rsidR="009E0DA9" w:rsidRPr="008A384F" w:rsidRDefault="009E0DA9" w:rsidP="009E0DA9">
      <w:pPr>
        <w:widowControl w:val="0"/>
        <w:tabs>
          <w:tab w:val="left" w:pos="567"/>
          <w:tab w:val="left" w:pos="851"/>
        </w:tabs>
        <w:spacing w:after="120" w:line="240" w:lineRule="auto"/>
        <w:ind w:right="-284" w:firstLine="709"/>
        <w:contextualSpacing/>
        <w:jc w:val="both"/>
        <w:rPr>
          <w:rFonts w:ascii="Times New Roman" w:hAnsi="Times New Roman"/>
          <w:sz w:val="28"/>
          <w:szCs w:val="28"/>
          <w:lang w:val="uk-UA"/>
        </w:rPr>
      </w:pPr>
      <w:r>
        <w:rPr>
          <w:rFonts w:ascii="Times New Roman" w:hAnsi="Times New Roman"/>
          <w:sz w:val="28"/>
          <w:szCs w:val="28"/>
          <w:lang w:val="uk-UA"/>
        </w:rPr>
        <w:t xml:space="preserve">При вирішенні питання щодо відкриття дисциплінарного провадження встановлено таке. </w:t>
      </w:r>
    </w:p>
    <w:p w:rsidR="009E0DA9" w:rsidRDefault="009E0DA9" w:rsidP="009E0DA9">
      <w:pPr>
        <w:widowControl w:val="0"/>
        <w:tabs>
          <w:tab w:val="left" w:pos="567"/>
          <w:tab w:val="left" w:pos="851"/>
        </w:tabs>
        <w:spacing w:after="120" w:line="240" w:lineRule="auto"/>
        <w:ind w:right="-284" w:firstLine="709"/>
        <w:contextualSpacing/>
        <w:jc w:val="both"/>
        <w:rPr>
          <w:rFonts w:ascii="Times New Roman" w:hAnsi="Times New Roman"/>
          <w:sz w:val="28"/>
          <w:szCs w:val="28"/>
        </w:rPr>
      </w:pPr>
    </w:p>
    <w:p w:rsidR="009E0DA9" w:rsidRDefault="009E0DA9" w:rsidP="009E0DA9">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Зміст скарги</w:t>
      </w:r>
    </w:p>
    <w:p w:rsidR="009E0DA9" w:rsidRPr="00A74F22" w:rsidRDefault="009E0DA9" w:rsidP="009E0DA9">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sidRPr="00A74F22">
        <w:rPr>
          <w:rFonts w:ascii="Times New Roman" w:eastAsia="Calibri" w:hAnsi="Times New Roman" w:cs="Times New Roman"/>
          <w:sz w:val="28"/>
          <w:szCs w:val="28"/>
          <w:lang w:val="uk-UA"/>
        </w:rPr>
        <w:t>Дисциплінарна скарга не відповідає рекомендованому зразку, водночас з</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 xml:space="preserve"> її</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 xml:space="preserve"> тексту можна вважати, що прокурор</w:t>
      </w:r>
      <w:r>
        <w:rPr>
          <w:rFonts w:ascii="Times New Roman" w:eastAsia="Calibri" w:hAnsi="Times New Roman" w:cs="Times New Roman"/>
          <w:sz w:val="28"/>
          <w:szCs w:val="28"/>
          <w:lang w:val="uk-UA"/>
        </w:rPr>
        <w:t xml:space="preserve"> Харченко С.Г.</w:t>
      </w:r>
      <w:r w:rsidRPr="00A74F22">
        <w:rPr>
          <w:rFonts w:ascii="Times New Roman" w:eastAsia="Calibri" w:hAnsi="Times New Roman" w:cs="Times New Roman"/>
          <w:sz w:val="28"/>
          <w:szCs w:val="28"/>
          <w:lang w:val="uk-UA"/>
        </w:rPr>
        <w:t xml:space="preserve"> вчини</w:t>
      </w:r>
      <w:r>
        <w:rPr>
          <w:rFonts w:ascii="Times New Roman" w:eastAsia="Calibri" w:hAnsi="Times New Roman" w:cs="Times New Roman"/>
          <w:sz w:val="28"/>
          <w:szCs w:val="28"/>
          <w:lang w:val="uk-UA"/>
        </w:rPr>
        <w:t>в</w:t>
      </w:r>
      <w:r w:rsidRPr="00A74F22">
        <w:rPr>
          <w:rFonts w:ascii="Times New Roman" w:eastAsia="Calibri" w:hAnsi="Times New Roman" w:cs="Times New Roman"/>
          <w:sz w:val="28"/>
          <w:szCs w:val="28"/>
          <w:lang w:val="uk-UA"/>
        </w:rPr>
        <w:t xml:space="preserve"> дисциплінарний</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 xml:space="preserve"> проступок, передбачений пунктом 1 (невиконання чи неналежне виконання службових обов’язків) </w:t>
      </w:r>
      <w:r>
        <w:rPr>
          <w:rFonts w:ascii="Times New Roman" w:eastAsia="Calibri" w:hAnsi="Times New Roman" w:cs="Times New Roman"/>
          <w:sz w:val="28"/>
          <w:szCs w:val="28"/>
          <w:lang w:val="uk-UA"/>
        </w:rPr>
        <w:t xml:space="preserve">та 2 (необґрунтоване зволікання з розглядом звернення) </w:t>
      </w:r>
      <w:r w:rsidRPr="00A74F22">
        <w:rPr>
          <w:rFonts w:ascii="Times New Roman" w:eastAsia="Calibri" w:hAnsi="Times New Roman" w:cs="Times New Roman"/>
          <w:sz w:val="28"/>
          <w:szCs w:val="28"/>
          <w:lang w:val="uk-UA"/>
        </w:rPr>
        <w:t>частини першої статті 43 Закону України «Про</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прокуратуру» (далі – Закон)</w:t>
      </w:r>
      <w:r>
        <w:rPr>
          <w:rFonts w:ascii="Times New Roman" w:eastAsia="Calibri" w:hAnsi="Times New Roman" w:cs="Times New Roman"/>
          <w:sz w:val="28"/>
          <w:szCs w:val="28"/>
          <w:lang w:val="uk-UA"/>
        </w:rPr>
        <w:t xml:space="preserve"> за таких обставин.</w:t>
      </w:r>
    </w:p>
    <w:p w:rsidR="009E0DA9" w:rsidRDefault="009E0DA9" w:rsidP="009E0DA9">
      <w:pPr>
        <w:widowControl w:val="0"/>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Прокурор Харченко С.Г. здійснює процесуальне керівництво досудовим розслідуванням у кримінальному провадженні № </w:t>
      </w:r>
      <w:r w:rsidR="00147B13">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частиною другою статті 121 КК України, у якому обвинувальний акт стосовно </w:t>
      </w:r>
      <w:r w:rsidR="00147B13">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направлено до Дергачівського районного суду Харківської області.</w:t>
      </w:r>
    </w:p>
    <w:p w:rsidR="009E0DA9" w:rsidRDefault="009E0DA9" w:rsidP="009E0DA9">
      <w:pPr>
        <w:widowControl w:val="0"/>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Скаржник вважає, що Харченком С.Г. допущено неналежне виконання службових обов’язків під час здійснення процесуального керівництва досудовим розслідуванням у кримінальному провадженні, а саме при наданні скаржнику </w:t>
      </w:r>
      <w:r>
        <w:rPr>
          <w:rFonts w:ascii="Times New Roman" w:eastAsia="Calibri" w:hAnsi="Times New Roman" w:cs="Times New Roman"/>
          <w:sz w:val="28"/>
          <w:szCs w:val="28"/>
          <w:lang w:val="uk-UA"/>
        </w:rPr>
        <w:lastRenderedPageBreak/>
        <w:t xml:space="preserve">08.04.2025 для ознайомлення його матеріалів, погодженні ним обвинувального </w:t>
      </w:r>
      <w:proofErr w:type="spellStart"/>
      <w:r>
        <w:rPr>
          <w:rFonts w:ascii="Times New Roman" w:eastAsia="Calibri" w:hAnsi="Times New Roman" w:cs="Times New Roman"/>
          <w:sz w:val="28"/>
          <w:szCs w:val="28"/>
          <w:lang w:val="uk-UA"/>
        </w:rPr>
        <w:t>акта</w:t>
      </w:r>
      <w:proofErr w:type="spellEnd"/>
      <w:r>
        <w:rPr>
          <w:rFonts w:ascii="Times New Roman" w:eastAsia="Calibri" w:hAnsi="Times New Roman" w:cs="Times New Roman"/>
          <w:sz w:val="28"/>
          <w:szCs w:val="28"/>
          <w:lang w:val="uk-UA"/>
        </w:rPr>
        <w:t xml:space="preserve"> та наданні необґрунтованої відповіді на звернення </w:t>
      </w:r>
      <w:r w:rsidR="00147B13">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щодо винесення постанови про виправлення помилок у кримінальному провадженні.  </w:t>
      </w:r>
    </w:p>
    <w:p w:rsidR="009E0DA9" w:rsidRPr="00842412" w:rsidRDefault="009E0DA9" w:rsidP="009E0DA9">
      <w:pPr>
        <w:widowControl w:val="0"/>
        <w:tabs>
          <w:tab w:val="left" w:pos="567"/>
          <w:tab w:val="left" w:pos="851"/>
        </w:tabs>
        <w:spacing w:after="120" w:line="240" w:lineRule="auto"/>
        <w:ind w:right="-284" w:firstLine="709"/>
        <w:contextualSpacing/>
        <w:jc w:val="both"/>
        <w:rPr>
          <w:rFonts w:ascii="Times New Roman" w:eastAsia="Calibri" w:hAnsi="Times New Roman" w:cs="Times New Roman"/>
          <w:sz w:val="16"/>
          <w:szCs w:val="16"/>
          <w:shd w:val="clear" w:color="auto" w:fill="FFFFFF"/>
          <w:lang w:val="uk-UA"/>
        </w:rPr>
      </w:pPr>
      <w:r>
        <w:rPr>
          <w:rFonts w:ascii="Times New Roman" w:eastAsia="Calibri" w:hAnsi="Times New Roman" w:cs="Times New Roman"/>
          <w:sz w:val="28"/>
          <w:szCs w:val="28"/>
          <w:lang w:val="uk-UA"/>
        </w:rPr>
        <w:tab/>
      </w:r>
    </w:p>
    <w:p w:rsidR="009E0DA9" w:rsidRDefault="009E0DA9" w:rsidP="009E0DA9">
      <w:pPr>
        <w:widowControl w:val="0"/>
        <w:tabs>
          <w:tab w:val="left" w:pos="567"/>
          <w:tab w:val="left" w:pos="851"/>
        </w:tabs>
        <w:spacing w:after="120" w:line="240" w:lineRule="auto"/>
        <w:ind w:right="-284" w:firstLine="709"/>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встановлених фактичних даних</w:t>
      </w:r>
    </w:p>
    <w:p w:rsidR="009E0DA9" w:rsidRDefault="009E0DA9" w:rsidP="009E0DA9">
      <w:pPr>
        <w:widowControl w:val="0"/>
        <w:tabs>
          <w:tab w:val="left" w:pos="567"/>
          <w:tab w:val="left" w:pos="851"/>
        </w:tabs>
        <w:spacing w:after="12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дисциплінарної скарги додано копії: відповіді Дергачівської окружної прокуратури від 28.04.2025 № 57-113-1356ВИХ-25 на звернення </w:t>
      </w:r>
      <w:r w:rsidR="00147B13">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w:t>
      </w:r>
    </w:p>
    <w:p w:rsidR="009E0DA9" w:rsidRDefault="009E0DA9" w:rsidP="009E0DA9">
      <w:pPr>
        <w:widowControl w:val="0"/>
        <w:tabs>
          <w:tab w:val="left" w:pos="567"/>
          <w:tab w:val="left" w:pos="851"/>
        </w:tabs>
        <w:spacing w:after="120" w:line="240" w:lineRule="auto"/>
        <w:ind w:right="-284" w:firstLine="709"/>
        <w:contextualSpacing/>
        <w:jc w:val="both"/>
        <w:rPr>
          <w:rFonts w:ascii="Times New Roman" w:eastAsia="Calibri" w:hAnsi="Times New Roman" w:cs="Times New Roman"/>
          <w:sz w:val="28"/>
          <w:szCs w:val="28"/>
          <w:lang w:val="uk-UA"/>
        </w:rPr>
      </w:pPr>
    </w:p>
    <w:p w:rsidR="009E0DA9" w:rsidRDefault="009E0DA9" w:rsidP="009E0DA9">
      <w:pPr>
        <w:widowControl w:val="0"/>
        <w:tabs>
          <w:tab w:val="left" w:pos="851"/>
        </w:tabs>
        <w:spacing w:after="120" w:line="240" w:lineRule="auto"/>
        <w:ind w:right="-284" w:firstLine="709"/>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джерел права, які підлягають застосуванню</w:t>
      </w:r>
    </w:p>
    <w:p w:rsidR="009E0DA9" w:rsidRDefault="009E0DA9" w:rsidP="009E0DA9">
      <w:pPr>
        <w:widowControl w:val="0"/>
        <w:tabs>
          <w:tab w:val="left" w:pos="851"/>
        </w:tabs>
        <w:spacing w:after="12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9E0DA9" w:rsidRDefault="009E0DA9" w:rsidP="009E0DA9">
      <w:pPr>
        <w:widowControl w:val="0"/>
        <w:tabs>
          <w:tab w:val="left" w:pos="851"/>
        </w:tabs>
        <w:spacing w:after="12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Орган здійснює дисциплінарне провадження щодо прокурорів Офісу Генерального прокурора, обласних та окружних прокуратур.</w:t>
      </w:r>
    </w:p>
    <w:p w:rsidR="009E0DA9" w:rsidRPr="001D135F" w:rsidRDefault="009E0DA9" w:rsidP="009E0DA9">
      <w:pPr>
        <w:spacing w:after="0" w:line="240" w:lineRule="auto"/>
        <w:ind w:right="-284" w:firstLine="709"/>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 xml:space="preserve">Однією із засад діяльності прокуратури, як це визначено у статті 3 Закону,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 xml:space="preserve">є незалежність прокурорів. </w:t>
      </w:r>
    </w:p>
    <w:p w:rsidR="009E0DA9" w:rsidRPr="001D135F" w:rsidRDefault="009E0DA9" w:rsidP="009E0DA9">
      <w:pPr>
        <w:spacing w:after="0" w:line="240" w:lineRule="auto"/>
        <w:ind w:right="-284" w:firstLine="709"/>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9E0DA9" w:rsidRPr="001D135F" w:rsidRDefault="009E0DA9" w:rsidP="009E0DA9">
      <w:pPr>
        <w:spacing w:after="0" w:line="240" w:lineRule="auto"/>
        <w:ind w:right="-284" w:firstLine="709"/>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w:t>
      </w:r>
      <w:r>
        <w:rPr>
          <w:rFonts w:ascii="Times New Roman" w:eastAsia="Calibri" w:hAnsi="Times New Roman" w:cs="Times New Roman"/>
          <w:bCs/>
          <w:sz w:val="28"/>
          <w:szCs w:val="28"/>
          <w:lang w:val="uk-UA"/>
        </w:rPr>
        <w:t xml:space="preserve"> </w:t>
      </w:r>
      <w:r w:rsidRPr="001D135F">
        <w:rPr>
          <w:rFonts w:ascii="Times New Roman" w:eastAsia="Calibri" w:hAnsi="Times New Roman" w:cs="Times New Roman"/>
          <w:bCs/>
          <w:sz w:val="28"/>
          <w:szCs w:val="28"/>
          <w:lang w:val="uk-UA"/>
        </w:rPr>
        <w:t>не мають на те законних повноважень, забороняється.</w:t>
      </w:r>
    </w:p>
    <w:p w:rsidR="009E0DA9" w:rsidRDefault="009E0DA9" w:rsidP="009E0DA9">
      <w:pPr>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Закону визначено, що прокурора може бути притягнуто до дисциплінарної відповідальності у порядку дисциплінарного провадження з таких підстав:</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невиконання чи неналежне виконання службових обов’язків;</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необґрунтоване зволікання з розглядом звернення;</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 порушення правил внутрішнього службового розпорядку;</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w:t>
      </w:r>
      <w:r>
        <w:rPr>
          <w:rFonts w:ascii="Times New Roman" w:eastAsia="Calibri" w:hAnsi="Times New Roman" w:cs="Times New Roman"/>
          <w:sz w:val="28"/>
          <w:szCs w:val="28"/>
          <w:lang w:val="uk-UA"/>
        </w:rPr>
        <w:lastRenderedPageBreak/>
        <w:t>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дисциплінарна скарга подана з підстав, не визначених </w:t>
      </w:r>
      <w:hyperlink r:id="rId5" w:anchor="n416" w:history="1">
        <w:r>
          <w:rPr>
            <w:rStyle w:val="a3"/>
            <w:rFonts w:ascii="Times New Roman" w:eastAsia="Calibri" w:hAnsi="Times New Roman" w:cs="Times New Roman"/>
            <w:color w:val="auto"/>
            <w:sz w:val="28"/>
            <w:szCs w:val="28"/>
            <w:u w:val="none"/>
            <w:lang w:val="uk-UA"/>
          </w:rPr>
          <w:t>статтею 43</w:t>
        </w:r>
      </w:hyperlink>
      <w:r>
        <w:rPr>
          <w:rFonts w:ascii="Times New Roman" w:eastAsia="Calibri" w:hAnsi="Times New Roman" w:cs="Times New Roman"/>
          <w:sz w:val="28"/>
          <w:szCs w:val="28"/>
          <w:lang w:val="uk-UA"/>
        </w:rPr>
        <w:t> цього Закону;</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Pr>
            <w:rStyle w:val="a3"/>
            <w:rFonts w:ascii="Times New Roman" w:eastAsia="Calibri" w:hAnsi="Times New Roman" w:cs="Times New Roman"/>
            <w:color w:val="auto"/>
            <w:sz w:val="28"/>
            <w:szCs w:val="28"/>
            <w:u w:val="none"/>
            <w:lang w:val="uk-UA"/>
          </w:rPr>
          <w:t> статтею 51</w:t>
        </w:r>
      </w:hyperlink>
      <w:r>
        <w:rPr>
          <w:rFonts w:ascii="Times New Roman" w:eastAsia="Calibri" w:hAnsi="Times New Roman" w:cs="Times New Roman"/>
          <w:sz w:val="28"/>
          <w:szCs w:val="28"/>
          <w:lang w:val="uk-UA"/>
        </w:rPr>
        <w:t> цього Закону;</w:t>
      </w:r>
    </w:p>
    <w:p w:rsidR="009E0DA9" w:rsidRDefault="009E0DA9" w:rsidP="009E0DA9">
      <w:pP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9E0DA9" w:rsidRPr="001D135F" w:rsidRDefault="009E0DA9" w:rsidP="009E0DA9">
      <w:pPr>
        <w:spacing w:after="0" w:line="240" w:lineRule="auto"/>
        <w:ind w:right="-284" w:firstLine="709"/>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9E0DA9" w:rsidRDefault="009E0DA9" w:rsidP="009E0DA9">
      <w:pPr>
        <w:spacing w:after="360" w:line="240" w:lineRule="auto"/>
        <w:ind w:right="-284" w:firstLine="709"/>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9E0DA9" w:rsidRDefault="009E0DA9" w:rsidP="009E0DA9">
      <w:pPr>
        <w:shd w:val="clear" w:color="auto" w:fill="FFFFFF"/>
        <w:spacing w:after="0" w:line="240" w:lineRule="auto"/>
        <w:ind w:right="-284"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Дисциплінарна скарга стосується рішень, дій та бездіяльності прокурора Харченка С.Г. прийнятих/вчинених у межах кримінального процесу.</w:t>
      </w:r>
    </w:p>
    <w:p w:rsidR="009E0DA9" w:rsidRPr="003717C5"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3717C5">
        <w:rPr>
          <w:rFonts w:ascii="Times New Roman" w:eastAsia="Times New Roman" w:hAnsi="Times New Roman" w:cs="Times New Roman"/>
          <w:sz w:val="28"/>
          <w:szCs w:val="28"/>
          <w:lang w:val="uk-UA" w:eastAsia="ru-RU"/>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цього Закону.</w:t>
      </w:r>
    </w:p>
    <w:p w:rsidR="009E0DA9" w:rsidRPr="003717C5"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3717C5">
        <w:rPr>
          <w:rFonts w:ascii="Times New Roman" w:eastAsia="Times New Roman" w:hAnsi="Times New Roman" w:cs="Times New Roman"/>
          <w:sz w:val="28"/>
          <w:szCs w:val="28"/>
          <w:lang w:val="uk-UA" w:eastAsia="ru-RU"/>
        </w:rPr>
        <w:t xml:space="preserve">Виходячи з цієї норми, спочатку мають встановлюватись підстави </w:t>
      </w:r>
      <w:r>
        <w:rPr>
          <w:rFonts w:ascii="Times New Roman" w:eastAsia="Times New Roman" w:hAnsi="Times New Roman" w:cs="Times New Roman"/>
          <w:sz w:val="28"/>
          <w:szCs w:val="28"/>
          <w:lang w:val="uk-UA" w:eastAsia="ru-RU"/>
        </w:rPr>
        <w:t>дл</w:t>
      </w:r>
      <w:r w:rsidRPr="003717C5">
        <w:rPr>
          <w:rFonts w:ascii="Times New Roman" w:eastAsia="Times New Roman" w:hAnsi="Times New Roman" w:cs="Times New Roman"/>
          <w:sz w:val="28"/>
          <w:szCs w:val="28"/>
          <w:lang w:val="uk-UA" w:eastAsia="ru-RU"/>
        </w:rPr>
        <w:t>я відмови у відкритті провадження і лише за їх відсутності приймається рішення про відкриття дисциплінарного провадження.</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w:t>
      </w:r>
      <w:r>
        <w:rPr>
          <w:rFonts w:ascii="Times New Roman" w:eastAsia="Times New Roman" w:hAnsi="Times New Roman" w:cs="Times New Roman"/>
          <w:sz w:val="28"/>
          <w:szCs w:val="28"/>
          <w:lang w:val="uk-UA" w:eastAsia="ru-RU"/>
        </w:rPr>
        <w:lastRenderedPageBreak/>
        <w:t xml:space="preserve">сторону дисциплінарного проступку характеризує вина; його суб’єктом є конкретно визначений прокурор. </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Судових рішень чи рішень прокурора вищого рівня про визнання неправомірними дій прокурора Харченка С.Г. до скарги не долучено. </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Відсутнє й відповідне звернення суду до органу, що здійснює дисциплінарне провадження, у передбаченому КПК України порядку. </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пунктом 1 </w:t>
      </w:r>
      <w:r w:rsidRPr="00261669">
        <w:rPr>
          <w:rFonts w:ascii="Times New Roman" w:eastAsia="Times New Roman" w:hAnsi="Times New Roman" w:cs="Times New Roman"/>
          <w:sz w:val="28"/>
          <w:szCs w:val="28"/>
          <w:lang w:val="uk-UA" w:eastAsia="ru-RU"/>
        </w:rPr>
        <w:t>(невиконання чи неналежне виконання службових обов’язків) частини першої статті 43</w:t>
      </w:r>
      <w:r>
        <w:rPr>
          <w:rFonts w:ascii="Times New Roman" w:eastAsia="Times New Roman" w:hAnsi="Times New Roman" w:cs="Times New Roman"/>
          <w:sz w:val="28"/>
          <w:szCs w:val="28"/>
          <w:lang w:val="uk-UA" w:eastAsia="ru-RU"/>
        </w:rPr>
        <w:t xml:space="preserve"> Закону № 1697-VII, у службовій чи позаслужбовій поведінці прокурора Харченка С.Г.</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скарги не долучено жодного процесуального рішення, інших документів чи матеріалів, які б дозволяли встановити факти порушення прокурором Харченком С.Г. прав осіб чи вимог закону під час виконання ним службових повноважень, копій документів, якими дії чи бездіяльність прокурора Харченка С.Г</w:t>
      </w:r>
      <w:bookmarkStart w:id="0" w:name="_GoBack"/>
      <w:bookmarkEnd w:id="0"/>
      <w:r>
        <w:rPr>
          <w:rFonts w:ascii="Times New Roman" w:eastAsia="Times New Roman" w:hAnsi="Times New Roman" w:cs="Times New Roman"/>
          <w:sz w:val="28"/>
          <w:szCs w:val="28"/>
          <w:lang w:val="uk-UA" w:eastAsia="ru-RU"/>
        </w:rPr>
        <w:t>. судом визнано неправомірними та констатовано порушення ним вимог закону чи прав осіб.</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Харченка С.Г.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Незгода учасника процесу із рішеннями (діями) прокурорів не може автоматично мати наслідком їх дисциплінарну відповідальність.</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Додані до скарги документи не містять відомостей про наявність ознак ухилення прокурора Харченка С.Г. від вчинення конкретних дій у рамках виконання власних службових повноважень та про неналежне виконання  службових обов’язків. </w:t>
      </w:r>
    </w:p>
    <w:p w:rsidR="009E0DA9" w:rsidRDefault="009E0DA9" w:rsidP="009E0DA9">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Думка скаржника щодо вчинення Харченком С.Г. дисциплінарного проступку, передбаченого пунктом 2 частини першої статті 43 Закону не аргументована жодними доводами, які підтверджують необґрунтоване зволікання з розглядом звернення.</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3717C5">
        <w:rPr>
          <w:rFonts w:ascii="Times New Roman" w:eastAsia="Times New Roman" w:hAnsi="Times New Roman" w:cs="Times New Roman"/>
          <w:sz w:val="28"/>
          <w:szCs w:val="28"/>
          <w:lang w:val="uk-UA" w:eastAsia="ru-RU"/>
        </w:rPr>
        <w:t xml:space="preserve">Зважаючи на викладене, твердження скаржника про невиконання чи </w:t>
      </w:r>
      <w:r>
        <w:rPr>
          <w:rFonts w:ascii="Times New Roman" w:eastAsia="Times New Roman" w:hAnsi="Times New Roman" w:cs="Times New Roman"/>
          <w:sz w:val="28"/>
          <w:szCs w:val="28"/>
          <w:lang w:val="uk-UA" w:eastAsia="ru-RU"/>
        </w:rPr>
        <w:t xml:space="preserve">  </w:t>
      </w:r>
      <w:r w:rsidRPr="003717C5">
        <w:rPr>
          <w:rFonts w:ascii="Times New Roman" w:eastAsia="Times New Roman" w:hAnsi="Times New Roman" w:cs="Times New Roman"/>
          <w:sz w:val="28"/>
          <w:szCs w:val="28"/>
          <w:lang w:val="uk-UA" w:eastAsia="ru-RU"/>
        </w:rPr>
        <w:t xml:space="preserve">неналежне виконання прокурором </w:t>
      </w:r>
      <w:r>
        <w:rPr>
          <w:rFonts w:ascii="Times New Roman" w:eastAsia="Times New Roman" w:hAnsi="Times New Roman" w:cs="Times New Roman"/>
          <w:sz w:val="28"/>
          <w:szCs w:val="28"/>
          <w:lang w:val="uk-UA" w:eastAsia="ru-RU"/>
        </w:rPr>
        <w:t>Харченком С.Г.</w:t>
      </w:r>
      <w:r w:rsidRPr="003717C5">
        <w:rPr>
          <w:rFonts w:ascii="Times New Roman" w:eastAsia="Times New Roman" w:hAnsi="Times New Roman" w:cs="Times New Roman"/>
          <w:sz w:val="28"/>
          <w:szCs w:val="28"/>
          <w:lang w:val="uk-UA" w:eastAsia="ru-RU"/>
        </w:rPr>
        <w:t xml:space="preserve"> службових обов’язків є суб’єктивним.</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Отже, скаржником не наведено та не надано конкретних відомостей про наявність ознак дисциплінарного проступку в діях прокурора Харченка С.Г.,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9E0DA9" w:rsidRDefault="009E0DA9" w:rsidP="009E0DA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Керуючись статтями 44 – 46  Закону № 1697-VII, пунктами 28, 62, 98 </w:t>
      </w:r>
      <w:r>
        <w:rPr>
          <w:rFonts w:ascii="Times New Roman" w:eastAsia="Times New Roman" w:hAnsi="Times New Roman" w:cs="Times New Roman"/>
          <w:sz w:val="28"/>
          <w:szCs w:val="28"/>
          <w:lang w:val="uk-UA" w:eastAsia="ru-RU"/>
        </w:rPr>
        <w:lastRenderedPageBreak/>
        <w:t>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27 серпня 2024 року),</w:t>
      </w:r>
    </w:p>
    <w:p w:rsidR="009E0DA9" w:rsidRDefault="009E0DA9" w:rsidP="009E0DA9">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9E0DA9" w:rsidRDefault="009E0DA9" w:rsidP="009E0DA9">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p>
    <w:p w:rsidR="009E0DA9" w:rsidRDefault="009E0DA9" w:rsidP="009E0DA9">
      <w:pPr>
        <w:widowControl w:val="0"/>
        <w:tabs>
          <w:tab w:val="left" w:pos="709"/>
        </w:tabs>
        <w:spacing w:after="120" w:line="240" w:lineRule="auto"/>
        <w:ind w:right="-284"/>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ab/>
        <w:t xml:space="preserve">Відмовити у відкритті дисциплінарного провадження стосовно </w:t>
      </w:r>
      <w:r>
        <w:rPr>
          <w:rFonts w:ascii="Times New Roman" w:eastAsia="Times New Roman" w:hAnsi="Times New Roman" w:cs="Times New Roman"/>
          <w:sz w:val="28"/>
          <w:szCs w:val="28"/>
          <w:lang w:val="uk-UA" w:eastAsia="ru-RU"/>
        </w:rPr>
        <w:t>прокурора Дергачівської окружної прокуратури Харківської області Харченка С.Г.</w:t>
      </w:r>
    </w:p>
    <w:p w:rsidR="009E0DA9" w:rsidRDefault="009E0DA9" w:rsidP="009E0DA9">
      <w:pPr>
        <w:widowControl w:val="0"/>
        <w:tabs>
          <w:tab w:val="left" w:pos="709"/>
        </w:tabs>
        <w:spacing w:after="120" w:line="240" w:lineRule="auto"/>
        <w:ind w:right="-284"/>
        <w:contextualSpacing/>
        <w:jc w:val="both"/>
        <w:rPr>
          <w:rFonts w:ascii="Times New Roman" w:eastAsia="Times New Roman" w:hAnsi="Times New Roman" w:cs="Times New Roman"/>
          <w:sz w:val="28"/>
          <w:szCs w:val="28"/>
          <w:lang w:val="uk-UA" w:eastAsia="ru-RU"/>
        </w:rPr>
      </w:pPr>
    </w:p>
    <w:p w:rsidR="009E0DA9" w:rsidRDefault="009E0DA9" w:rsidP="009E0DA9">
      <w:pPr>
        <w:widowControl w:val="0"/>
        <w:spacing w:after="12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Рішення направити скаржнику та прокурору. </w:t>
      </w:r>
    </w:p>
    <w:p w:rsidR="009E0DA9" w:rsidRDefault="009E0DA9" w:rsidP="009E0DA9">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p>
    <w:p w:rsidR="009E0DA9" w:rsidRDefault="009E0DA9" w:rsidP="009E0DA9">
      <w:pPr>
        <w:widowControl w:val="0"/>
        <w:tabs>
          <w:tab w:val="left" w:pos="851"/>
        </w:tabs>
        <w:spacing w:after="120" w:line="240" w:lineRule="auto"/>
        <w:ind w:right="-284"/>
        <w:contextualSpacing/>
        <w:jc w:val="both"/>
        <w:rPr>
          <w:rFonts w:ascii="Times New Roman" w:eastAsia="Calibri" w:hAnsi="Times New Roman" w:cs="Times New Roman"/>
          <w:sz w:val="28"/>
          <w:szCs w:val="28"/>
          <w:lang w:val="uk-UA"/>
        </w:rPr>
      </w:pPr>
    </w:p>
    <w:p w:rsidR="009E0DA9" w:rsidRDefault="009E0DA9" w:rsidP="009E0DA9">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9E0DA9" w:rsidRPr="009C6064" w:rsidRDefault="009E0DA9" w:rsidP="009E0DA9">
      <w:pPr>
        <w:spacing w:after="120" w:line="240" w:lineRule="auto"/>
        <w:ind w:right="-284"/>
        <w:jc w:val="both"/>
        <w:rPr>
          <w:lang w:val="uk-UA"/>
        </w:rPr>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9E0DA9" w:rsidRPr="009C6064" w:rsidRDefault="009E0DA9" w:rsidP="009E0DA9">
      <w:pPr>
        <w:rPr>
          <w:lang w:val="uk-UA"/>
        </w:rPr>
      </w:pPr>
    </w:p>
    <w:p w:rsidR="009E0DA9" w:rsidRPr="009C6064" w:rsidRDefault="009E0DA9" w:rsidP="009E0DA9">
      <w:pPr>
        <w:rPr>
          <w:lang w:val="uk-UA"/>
        </w:rPr>
      </w:pPr>
    </w:p>
    <w:p w:rsidR="009E0DA9" w:rsidRPr="009C6064" w:rsidRDefault="009E0DA9" w:rsidP="009E0DA9">
      <w:pPr>
        <w:rPr>
          <w:lang w:val="uk-UA"/>
        </w:rPr>
      </w:pPr>
    </w:p>
    <w:p w:rsidR="009E0DA9" w:rsidRDefault="009E0DA9" w:rsidP="009E0DA9"/>
    <w:p w:rsidR="009E0DA9" w:rsidRDefault="009E0DA9" w:rsidP="009E0DA9"/>
    <w:p w:rsidR="00684B46" w:rsidRDefault="00684B46"/>
    <w:sectPr w:rsidR="00684B46" w:rsidSect="00842412">
      <w:headerReference w:type="default" r:id="rId7"/>
      <w:pgSz w:w="11906" w:h="16838"/>
      <w:pgMar w:top="1134" w:right="850"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021712"/>
      <w:docPartObj>
        <w:docPartGallery w:val="Page Numbers (Top of Page)"/>
        <w:docPartUnique/>
      </w:docPartObj>
    </w:sdtPr>
    <w:sdtEndPr/>
    <w:sdtContent>
      <w:p w:rsidR="00A60A34" w:rsidRDefault="00147B13">
        <w:pPr>
          <w:pStyle w:val="a4"/>
          <w:jc w:val="center"/>
        </w:pPr>
        <w:r>
          <w:fldChar w:fldCharType="begin"/>
        </w:r>
        <w:r>
          <w:instrText xml:space="preserve">PAGE   \* </w:instrText>
        </w:r>
        <w:r>
          <w:instrText>MERGEFORMAT</w:instrText>
        </w:r>
        <w:r>
          <w:fldChar w:fldCharType="separate"/>
        </w:r>
        <w:r>
          <w:rPr>
            <w:noProof/>
          </w:rPr>
          <w:t>2</w:t>
        </w:r>
        <w:r>
          <w:fldChar w:fldCharType="end"/>
        </w:r>
      </w:p>
    </w:sdtContent>
  </w:sdt>
  <w:p w:rsidR="00A60A34" w:rsidRDefault="00147B1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A9"/>
    <w:rsid w:val="00147B13"/>
    <w:rsid w:val="00684B46"/>
    <w:rsid w:val="009E0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43FF"/>
  <w15:chartTrackingRefBased/>
  <w15:docId w15:val="{FA57067D-57AA-418B-B11A-62C17AFA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D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0DA9"/>
    <w:rPr>
      <w:color w:val="0000FF"/>
      <w:u w:val="single"/>
    </w:rPr>
  </w:style>
  <w:style w:type="paragraph" w:styleId="a4">
    <w:name w:val="header"/>
    <w:basedOn w:val="a"/>
    <w:link w:val="a5"/>
    <w:uiPriority w:val="99"/>
    <w:unhideWhenUsed/>
    <w:rsid w:val="009E0D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2008</Words>
  <Characters>11448</Characters>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2025-08-04T07:51:00Z</dcterms:created>
  <dcterms:modified xsi:type="dcterms:W3CDTF">2025-08-04T07:57:00Z</dcterms:modified>
</cp:coreProperties>
</file>