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781FA156" w:rsidR="00492C7A" w:rsidRPr="00D35EAF" w:rsidRDefault="007A4612" w:rsidP="00843637">
      <w:pPr>
        <w:rPr>
          <w:rFonts w:ascii="Times New Roman" w:hAnsi="Times New Roman"/>
          <w:b/>
          <w:kern w:val="28"/>
          <w:sz w:val="28"/>
          <w:szCs w:val="28"/>
          <w:lang w:eastAsia="uk-UA"/>
        </w:rPr>
      </w:pPr>
      <w:r>
        <w:rPr>
          <w:rFonts w:ascii="Times New Roman" w:hAnsi="Times New Roman"/>
          <w:b/>
          <w:kern w:val="28"/>
          <w:sz w:val="28"/>
          <w:szCs w:val="28"/>
          <w:lang w:eastAsia="uk-UA"/>
        </w:rPr>
        <w:t>21</w:t>
      </w:r>
      <w:r w:rsidR="00843637" w:rsidRPr="00E840C7">
        <w:rPr>
          <w:rFonts w:ascii="Times New Roman" w:hAnsi="Times New Roman"/>
          <w:b/>
          <w:kern w:val="28"/>
          <w:sz w:val="28"/>
          <w:szCs w:val="28"/>
          <w:lang w:eastAsia="uk-UA"/>
        </w:rPr>
        <w:t xml:space="preserve"> </w:t>
      </w:r>
      <w:r w:rsidR="00DF29EA">
        <w:rPr>
          <w:rFonts w:ascii="Times New Roman" w:hAnsi="Times New Roman"/>
          <w:b/>
          <w:kern w:val="28"/>
          <w:sz w:val="28"/>
          <w:szCs w:val="28"/>
          <w:lang w:eastAsia="uk-UA"/>
        </w:rPr>
        <w:t>березня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DF29EA">
        <w:rPr>
          <w:rFonts w:ascii="Times New Roman" w:hAnsi="Times New Roman"/>
          <w:b/>
          <w:kern w:val="28"/>
          <w:sz w:val="28"/>
          <w:szCs w:val="28"/>
          <w:lang w:eastAsia="uk-UA"/>
        </w:rPr>
        <w:t>1</w:t>
      </w:r>
      <w:r>
        <w:rPr>
          <w:rFonts w:ascii="Times New Roman" w:hAnsi="Times New Roman"/>
          <w:b/>
          <w:kern w:val="28"/>
          <w:sz w:val="28"/>
          <w:szCs w:val="28"/>
          <w:lang w:eastAsia="uk-UA"/>
        </w:rPr>
        <w:t>82</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27484E16" w:rsidR="00843637"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F368D1">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7A4612">
        <w:rPr>
          <w:rFonts w:ascii="Times New Roman" w:hAnsi="Times New Roman"/>
          <w:sz w:val="28"/>
          <w:szCs w:val="28"/>
        </w:rPr>
        <w:t>а</w:t>
      </w:r>
      <w:r w:rsidR="00DF29EA">
        <w:rPr>
          <w:rFonts w:ascii="Times New Roman" w:hAnsi="Times New Roman"/>
          <w:sz w:val="28"/>
          <w:szCs w:val="28"/>
        </w:rPr>
        <w:t xml:space="preserve"> </w:t>
      </w:r>
      <w:r w:rsidR="007A4612">
        <w:rPr>
          <w:rFonts w:ascii="Times New Roman" w:hAnsi="Times New Roman"/>
          <w:sz w:val="28"/>
          <w:szCs w:val="28"/>
        </w:rPr>
        <w:t>О</w:t>
      </w:r>
      <w:r w:rsidR="008461E8">
        <w:rPr>
          <w:rFonts w:ascii="Times New Roman" w:hAnsi="Times New Roman"/>
          <w:sz w:val="28"/>
          <w:szCs w:val="28"/>
        </w:rPr>
        <w:t>кружної</w:t>
      </w:r>
      <w:r w:rsidR="00DF29EA">
        <w:rPr>
          <w:rFonts w:ascii="Times New Roman" w:hAnsi="Times New Roman"/>
          <w:sz w:val="28"/>
          <w:szCs w:val="28"/>
        </w:rPr>
        <w:t xml:space="preserve"> прокуратури міста </w:t>
      </w:r>
      <w:r w:rsidR="007A4612">
        <w:rPr>
          <w:rFonts w:ascii="Times New Roman" w:hAnsi="Times New Roman"/>
          <w:sz w:val="28"/>
          <w:szCs w:val="28"/>
        </w:rPr>
        <w:t>Суми Сумської області Лук’яненка Юрія Вікторо</w:t>
      </w:r>
      <w:r w:rsidR="00DF29EA">
        <w:rPr>
          <w:rFonts w:ascii="Times New Roman" w:hAnsi="Times New Roman"/>
          <w:sz w:val="28"/>
          <w:szCs w:val="28"/>
        </w:rPr>
        <w:t>вича</w:t>
      </w:r>
      <w:r w:rsidR="00225470">
        <w:rPr>
          <w:rFonts w:ascii="Times New Roman" w:hAnsi="Times New Roman"/>
          <w:sz w:val="28"/>
          <w:szCs w:val="28"/>
        </w:rPr>
        <w:t xml:space="preserve"> (далі – прокурор </w:t>
      </w:r>
      <w:r w:rsidR="007A4612">
        <w:rPr>
          <w:rFonts w:ascii="Times New Roman" w:hAnsi="Times New Roman"/>
          <w:sz w:val="28"/>
          <w:szCs w:val="28"/>
        </w:rPr>
        <w:t>Лук’яненко Ю.В</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6940450C"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F368D1">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7A4612">
        <w:rPr>
          <w:rFonts w:ascii="Times New Roman" w:hAnsi="Times New Roman"/>
          <w:sz w:val="28"/>
          <w:szCs w:val="28"/>
        </w:rPr>
        <w:t>о</w:t>
      </w:r>
      <w:r w:rsidRPr="00D35EAF">
        <w:rPr>
          <w:rFonts w:ascii="Times New Roman" w:hAnsi="Times New Roman"/>
          <w:sz w:val="28"/>
          <w:szCs w:val="28"/>
        </w:rPr>
        <w:t xml:space="preserve">м </w:t>
      </w:r>
      <w:r w:rsidR="007A4612">
        <w:rPr>
          <w:rFonts w:ascii="Times New Roman" w:hAnsi="Times New Roman"/>
          <w:sz w:val="28"/>
          <w:szCs w:val="28"/>
        </w:rPr>
        <w:t>Лук’яненком Ю.В</w:t>
      </w:r>
      <w:r w:rsidR="00724F05" w:rsidRPr="00D35EAF">
        <w:rPr>
          <w:rFonts w:ascii="Times New Roman" w:hAnsi="Times New Roman"/>
          <w:sz w:val="28"/>
          <w:szCs w:val="28"/>
        </w:rPr>
        <w:t>.</w:t>
      </w:r>
    </w:p>
    <w:p w14:paraId="1026768B" w14:textId="28D9A45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w:t>
      </w:r>
      <w:r w:rsidR="007A4612">
        <w:rPr>
          <w:rFonts w:ascii="Times New Roman" w:hAnsi="Times New Roman"/>
          <w:sz w:val="28"/>
          <w:szCs w:val="28"/>
        </w:rPr>
        <w:t>3</w:t>
      </w:r>
      <w:r w:rsidRPr="00D35EAF">
        <w:rPr>
          <w:rFonts w:ascii="Times New Roman" w:hAnsi="Times New Roman"/>
          <w:sz w:val="28"/>
          <w:szCs w:val="28"/>
        </w:rPr>
        <w:t xml:space="preserve"> </w:t>
      </w:r>
      <w:r w:rsidR="00DF29EA">
        <w:rPr>
          <w:rFonts w:ascii="Times New Roman" w:hAnsi="Times New Roman"/>
          <w:sz w:val="28"/>
          <w:szCs w:val="28"/>
        </w:rPr>
        <w:t>берез</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59BD97C1"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3F2D0A" w:rsidRPr="00D35EAF">
        <w:rPr>
          <w:rFonts w:ascii="Times New Roman" w:hAnsi="Times New Roman"/>
          <w:sz w:val="28"/>
          <w:szCs w:val="28"/>
        </w:rPr>
        <w:t>к</w:t>
      </w:r>
      <w:r w:rsidRPr="00D35EAF">
        <w:rPr>
          <w:rFonts w:ascii="Times New Roman" w:hAnsi="Times New Roman"/>
          <w:sz w:val="28"/>
          <w:szCs w:val="28"/>
        </w:rPr>
        <w:t xml:space="preserve"> зазначи</w:t>
      </w:r>
      <w:r w:rsidR="003F2D0A" w:rsidRPr="00D35EAF">
        <w:rPr>
          <w:rFonts w:ascii="Times New Roman" w:hAnsi="Times New Roman"/>
          <w:sz w:val="28"/>
          <w:szCs w:val="28"/>
        </w:rPr>
        <w:t xml:space="preserve">в,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7A4612">
        <w:rPr>
          <w:rFonts w:ascii="Times New Roman" w:hAnsi="Times New Roman"/>
          <w:sz w:val="28"/>
          <w:szCs w:val="28"/>
        </w:rPr>
        <w:t>обвинуваченим</w:t>
      </w:r>
      <w:r w:rsidR="00DF29EA">
        <w:rPr>
          <w:rFonts w:ascii="Times New Roman" w:hAnsi="Times New Roman"/>
          <w:sz w:val="28"/>
          <w:szCs w:val="28"/>
        </w:rPr>
        <w:t xml:space="preserve"> у кримінальному провадженні № </w:t>
      </w:r>
      <w:r w:rsidR="00F368D1">
        <w:rPr>
          <w:rFonts w:ascii="Times New Roman" w:hAnsi="Times New Roman"/>
          <w:sz w:val="28"/>
          <w:szCs w:val="28"/>
        </w:rPr>
        <w:t>(конфіденційна інформація)</w:t>
      </w:r>
      <w:r w:rsidR="00DF29EA">
        <w:rPr>
          <w:rFonts w:ascii="Times New Roman" w:hAnsi="Times New Roman"/>
          <w:sz w:val="28"/>
          <w:szCs w:val="28"/>
        </w:rPr>
        <w:t xml:space="preserve"> від </w:t>
      </w:r>
      <w:r w:rsidR="007A4612">
        <w:rPr>
          <w:rFonts w:ascii="Times New Roman" w:hAnsi="Times New Roman"/>
          <w:sz w:val="28"/>
          <w:szCs w:val="28"/>
        </w:rPr>
        <w:t>30</w:t>
      </w:r>
      <w:r w:rsidR="00DF29EA">
        <w:rPr>
          <w:rFonts w:ascii="Times New Roman" w:hAnsi="Times New Roman"/>
          <w:sz w:val="28"/>
          <w:szCs w:val="28"/>
        </w:rPr>
        <w:t xml:space="preserve"> </w:t>
      </w:r>
      <w:r w:rsidR="007A4612">
        <w:rPr>
          <w:rFonts w:ascii="Times New Roman" w:hAnsi="Times New Roman"/>
          <w:sz w:val="28"/>
          <w:szCs w:val="28"/>
        </w:rPr>
        <w:t>верес</w:t>
      </w:r>
      <w:r w:rsidR="00DF29EA">
        <w:rPr>
          <w:rFonts w:ascii="Times New Roman" w:hAnsi="Times New Roman"/>
          <w:sz w:val="28"/>
          <w:szCs w:val="28"/>
        </w:rPr>
        <w:t>ня 202</w:t>
      </w:r>
      <w:r w:rsidR="007A4612">
        <w:rPr>
          <w:rFonts w:ascii="Times New Roman" w:hAnsi="Times New Roman"/>
          <w:sz w:val="28"/>
          <w:szCs w:val="28"/>
        </w:rPr>
        <w:t>4</w:t>
      </w:r>
      <w:r w:rsidR="00DF29EA">
        <w:rPr>
          <w:rFonts w:ascii="Times New Roman" w:hAnsi="Times New Roman"/>
          <w:sz w:val="28"/>
          <w:szCs w:val="28"/>
        </w:rPr>
        <w:t xml:space="preserve"> року</w:t>
      </w:r>
      <w:r w:rsidR="007A4612">
        <w:rPr>
          <w:rFonts w:ascii="Times New Roman" w:hAnsi="Times New Roman"/>
          <w:sz w:val="28"/>
          <w:szCs w:val="28"/>
        </w:rPr>
        <w:t xml:space="preserve"> </w:t>
      </w:r>
      <w:r w:rsidR="00DF29EA">
        <w:rPr>
          <w:rFonts w:ascii="Times New Roman" w:hAnsi="Times New Roman"/>
          <w:sz w:val="28"/>
          <w:szCs w:val="28"/>
        </w:rPr>
        <w:t>у вчиненні кримінального правопорушення, передбаченого частиною другою статті 29</w:t>
      </w:r>
      <w:r w:rsidR="007A4612">
        <w:rPr>
          <w:rFonts w:ascii="Times New Roman" w:hAnsi="Times New Roman"/>
          <w:sz w:val="28"/>
          <w:szCs w:val="28"/>
        </w:rPr>
        <w:t>6</w:t>
      </w:r>
      <w:r w:rsidR="00DF29EA">
        <w:rPr>
          <w:rFonts w:ascii="Times New Roman" w:hAnsi="Times New Roman"/>
          <w:sz w:val="28"/>
          <w:szCs w:val="28"/>
        </w:rPr>
        <w:t xml:space="preserve"> Кримінального кодексу України</w:t>
      </w:r>
      <w:r w:rsidR="007A4612">
        <w:rPr>
          <w:rFonts w:ascii="Times New Roman" w:hAnsi="Times New Roman"/>
          <w:sz w:val="28"/>
          <w:szCs w:val="28"/>
        </w:rPr>
        <w:t xml:space="preserve">, обвинувальний акт стосовно якого перебуває </w:t>
      </w:r>
      <w:r w:rsidR="005E4EFD">
        <w:rPr>
          <w:rFonts w:ascii="Times New Roman" w:hAnsi="Times New Roman"/>
          <w:sz w:val="28"/>
          <w:szCs w:val="28"/>
        </w:rPr>
        <w:t>на розгляді у</w:t>
      </w:r>
      <w:r w:rsidR="007A4612">
        <w:rPr>
          <w:rFonts w:ascii="Times New Roman" w:hAnsi="Times New Roman"/>
          <w:sz w:val="28"/>
          <w:szCs w:val="28"/>
        </w:rPr>
        <w:t xml:space="preserve"> Зарічно</w:t>
      </w:r>
      <w:r w:rsidR="005E4EFD">
        <w:rPr>
          <w:rFonts w:ascii="Times New Roman" w:hAnsi="Times New Roman"/>
          <w:sz w:val="28"/>
          <w:szCs w:val="28"/>
        </w:rPr>
        <w:t>му</w:t>
      </w:r>
      <w:r w:rsidR="007A4612">
        <w:rPr>
          <w:rFonts w:ascii="Times New Roman" w:hAnsi="Times New Roman"/>
          <w:sz w:val="28"/>
          <w:szCs w:val="28"/>
        </w:rPr>
        <w:t xml:space="preserve"> районно</w:t>
      </w:r>
      <w:r w:rsidR="005E4EFD">
        <w:rPr>
          <w:rFonts w:ascii="Times New Roman" w:hAnsi="Times New Roman"/>
          <w:sz w:val="28"/>
          <w:szCs w:val="28"/>
        </w:rPr>
        <w:t>му</w:t>
      </w:r>
      <w:r w:rsidR="007A4612">
        <w:rPr>
          <w:rFonts w:ascii="Times New Roman" w:hAnsi="Times New Roman"/>
          <w:sz w:val="28"/>
          <w:szCs w:val="28"/>
        </w:rPr>
        <w:t xml:space="preserve"> суд</w:t>
      </w:r>
      <w:r w:rsidR="005E4EFD">
        <w:rPr>
          <w:rFonts w:ascii="Times New Roman" w:hAnsi="Times New Roman"/>
          <w:sz w:val="28"/>
          <w:szCs w:val="28"/>
        </w:rPr>
        <w:t>і</w:t>
      </w:r>
      <w:r w:rsidR="007A4612">
        <w:rPr>
          <w:rFonts w:ascii="Times New Roman" w:hAnsi="Times New Roman"/>
          <w:sz w:val="28"/>
          <w:szCs w:val="28"/>
        </w:rPr>
        <w:t xml:space="preserve"> м. Суми</w:t>
      </w:r>
      <w:r w:rsidR="00DF29EA">
        <w:rPr>
          <w:rFonts w:ascii="Times New Roman" w:hAnsi="Times New Roman"/>
          <w:sz w:val="28"/>
          <w:szCs w:val="28"/>
        </w:rPr>
        <w:t>.</w:t>
      </w:r>
    </w:p>
    <w:p w14:paraId="30B97962" w14:textId="026C84E1" w:rsidR="005E4EFD" w:rsidRDefault="005E4EFD"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Утім прокурор Лук’яненко Ю.В., затверджуючи обвинувальний акт та направляючи його до суду, допустив необ’єктивність і упередженість, оскільки проігнорував обставини, що виправдовують </w:t>
      </w:r>
      <w:r w:rsidR="00F368D1">
        <w:rPr>
          <w:rFonts w:ascii="Times New Roman" w:hAnsi="Times New Roman"/>
          <w:sz w:val="28"/>
          <w:szCs w:val="28"/>
        </w:rPr>
        <w:t>ОСОБА_1</w:t>
      </w:r>
      <w:r>
        <w:rPr>
          <w:rFonts w:ascii="Times New Roman" w:hAnsi="Times New Roman"/>
          <w:sz w:val="28"/>
          <w:szCs w:val="28"/>
        </w:rPr>
        <w:t>, та докази, які спростовують вчинення ним кримінального правопорушення.</w:t>
      </w:r>
    </w:p>
    <w:p w14:paraId="36B2EB76" w14:textId="03C892EB" w:rsidR="005E4EFD" w:rsidRDefault="005E4EFD"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цього, прокурор Лук’яненко Ю.В. здійснював процесуальне керівництво у кримінальних провадженнях в умовах реального конфлікту інтересів, оскільки є старшим групи прокурорів у провадженнях, у яких </w:t>
      </w:r>
      <w:r w:rsidR="00F368D1">
        <w:rPr>
          <w:rFonts w:ascii="Times New Roman" w:hAnsi="Times New Roman"/>
          <w:sz w:val="28"/>
          <w:szCs w:val="28"/>
        </w:rPr>
        <w:t xml:space="preserve">ОСОБА_1 </w:t>
      </w:r>
      <w:r>
        <w:rPr>
          <w:rFonts w:ascii="Times New Roman" w:hAnsi="Times New Roman"/>
          <w:sz w:val="28"/>
          <w:szCs w:val="28"/>
        </w:rPr>
        <w:t>є одночасно і обвинуваченим, і потерпілим та вони стосуються однієї і тієї самої події, яка відбулася 28 вересня 2024 року.</w:t>
      </w:r>
    </w:p>
    <w:p w14:paraId="3E7134D5" w14:textId="75CA9121" w:rsidR="005E4EFD" w:rsidRDefault="00F8456A"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Ним допущені й інші порушення, а саме розділення протиправних дій </w:t>
      </w:r>
      <w:r w:rsidR="00F368D1">
        <w:rPr>
          <w:rFonts w:ascii="Times New Roman" w:hAnsi="Times New Roman"/>
          <w:sz w:val="28"/>
          <w:szCs w:val="28"/>
        </w:rPr>
        <w:t xml:space="preserve">ОСОБА_3 </w:t>
      </w:r>
      <w:r>
        <w:rPr>
          <w:rFonts w:ascii="Times New Roman" w:hAnsi="Times New Roman"/>
          <w:sz w:val="28"/>
          <w:szCs w:val="28"/>
        </w:rPr>
        <w:t xml:space="preserve">на два кримінальні провадження, хоча вони були вчинені в один час та </w:t>
      </w:r>
      <w:r w:rsidR="007F2CB5">
        <w:rPr>
          <w:rFonts w:ascii="Times New Roman" w:hAnsi="Times New Roman"/>
          <w:sz w:val="28"/>
          <w:szCs w:val="28"/>
        </w:rPr>
        <w:t>в</w:t>
      </w:r>
      <w:r>
        <w:rPr>
          <w:rFonts w:ascii="Times New Roman" w:hAnsi="Times New Roman"/>
          <w:sz w:val="28"/>
          <w:szCs w:val="28"/>
        </w:rPr>
        <w:t xml:space="preserve"> одному місці; безпідставне виділення матеріалів стосовно </w:t>
      </w:r>
      <w:r w:rsidR="00F368D1">
        <w:rPr>
          <w:rFonts w:ascii="Times New Roman" w:hAnsi="Times New Roman"/>
          <w:sz w:val="28"/>
          <w:szCs w:val="28"/>
        </w:rPr>
        <w:t>ОСОБА_2</w:t>
      </w:r>
      <w:r>
        <w:rPr>
          <w:rFonts w:ascii="Times New Roman" w:hAnsi="Times New Roman"/>
          <w:sz w:val="28"/>
          <w:szCs w:val="28"/>
        </w:rPr>
        <w:br/>
        <w:t>з кримінального провадження № </w:t>
      </w:r>
      <w:r w:rsidR="00F368D1">
        <w:rPr>
          <w:rFonts w:ascii="Times New Roman" w:hAnsi="Times New Roman"/>
          <w:sz w:val="28"/>
          <w:szCs w:val="28"/>
        </w:rPr>
        <w:t xml:space="preserve">(конфіденційна інформація) </w:t>
      </w:r>
      <w:r>
        <w:rPr>
          <w:rFonts w:ascii="Times New Roman" w:hAnsi="Times New Roman"/>
          <w:sz w:val="28"/>
          <w:szCs w:val="28"/>
        </w:rPr>
        <w:t>та скерування його з угодою до суду</w:t>
      </w:r>
      <w:r w:rsidR="007A0797">
        <w:rPr>
          <w:rFonts w:ascii="Times New Roman" w:hAnsi="Times New Roman"/>
          <w:sz w:val="28"/>
          <w:szCs w:val="28"/>
        </w:rPr>
        <w:t xml:space="preserve">, яка </w:t>
      </w:r>
      <w:r w:rsidR="00DF7ACA">
        <w:rPr>
          <w:rFonts w:ascii="Times New Roman" w:hAnsi="Times New Roman"/>
          <w:sz w:val="28"/>
          <w:szCs w:val="28"/>
        </w:rPr>
        <w:t xml:space="preserve">у подальшому </w:t>
      </w:r>
      <w:r w:rsidR="007A0797">
        <w:rPr>
          <w:rFonts w:ascii="Times New Roman" w:hAnsi="Times New Roman"/>
          <w:sz w:val="28"/>
          <w:szCs w:val="28"/>
        </w:rPr>
        <w:t>не була затверджена</w:t>
      </w:r>
      <w:r>
        <w:rPr>
          <w:rFonts w:ascii="Times New Roman" w:hAnsi="Times New Roman"/>
          <w:sz w:val="28"/>
          <w:szCs w:val="28"/>
        </w:rPr>
        <w:t xml:space="preserve">; </w:t>
      </w:r>
      <w:r w:rsidR="007A0797">
        <w:rPr>
          <w:rFonts w:ascii="Times New Roman" w:hAnsi="Times New Roman"/>
          <w:sz w:val="28"/>
          <w:szCs w:val="28"/>
        </w:rPr>
        <w:t xml:space="preserve">не вчинено жодних дій про висунення підозри чи направлення обвинувального акта до суду </w:t>
      </w:r>
      <w:r>
        <w:rPr>
          <w:rFonts w:ascii="Times New Roman" w:hAnsi="Times New Roman"/>
          <w:sz w:val="28"/>
          <w:szCs w:val="28"/>
        </w:rPr>
        <w:t xml:space="preserve">за наявності доказів вчинення кримінального правопорушення </w:t>
      </w:r>
      <w:r w:rsidR="00F368D1">
        <w:rPr>
          <w:rFonts w:ascii="Times New Roman" w:hAnsi="Times New Roman"/>
          <w:sz w:val="28"/>
          <w:szCs w:val="28"/>
        </w:rPr>
        <w:t>ОСОБА_3</w:t>
      </w:r>
      <w:r w:rsidR="00703B5C">
        <w:rPr>
          <w:rFonts w:ascii="Times New Roman" w:hAnsi="Times New Roman"/>
          <w:sz w:val="28"/>
          <w:szCs w:val="28"/>
        </w:rPr>
        <w:t xml:space="preserve">; проігноровано ухвалу </w:t>
      </w:r>
      <w:proofErr w:type="spellStart"/>
      <w:r w:rsidR="00703B5C">
        <w:rPr>
          <w:rFonts w:ascii="Times New Roman" w:hAnsi="Times New Roman"/>
          <w:sz w:val="28"/>
          <w:szCs w:val="28"/>
        </w:rPr>
        <w:t>Ковпаківського</w:t>
      </w:r>
      <w:proofErr w:type="spellEnd"/>
      <w:r w:rsidR="00703B5C">
        <w:rPr>
          <w:rFonts w:ascii="Times New Roman" w:hAnsi="Times New Roman"/>
          <w:sz w:val="28"/>
          <w:szCs w:val="28"/>
        </w:rPr>
        <w:t xml:space="preserve"> районного суду м. Суми щодо внесення відомостей </w:t>
      </w:r>
      <w:bookmarkStart w:id="0" w:name="_GoBack"/>
      <w:bookmarkEnd w:id="0"/>
      <w:r w:rsidR="00703B5C">
        <w:rPr>
          <w:rFonts w:ascii="Times New Roman" w:hAnsi="Times New Roman"/>
          <w:sz w:val="28"/>
          <w:szCs w:val="28"/>
        </w:rPr>
        <w:t xml:space="preserve">до ЄРДР за заявою </w:t>
      </w:r>
      <w:r w:rsidR="00F368D1">
        <w:rPr>
          <w:rFonts w:ascii="Times New Roman" w:hAnsi="Times New Roman"/>
          <w:sz w:val="28"/>
          <w:szCs w:val="28"/>
        </w:rPr>
        <w:t xml:space="preserve">ОСОБА_1 </w:t>
      </w:r>
      <w:r w:rsidR="00703B5C">
        <w:rPr>
          <w:rFonts w:ascii="Times New Roman" w:hAnsi="Times New Roman"/>
          <w:sz w:val="28"/>
          <w:szCs w:val="28"/>
        </w:rPr>
        <w:t>та зміни кваліфікації правопорушення.</w:t>
      </w:r>
    </w:p>
    <w:p w14:paraId="19B10535" w14:textId="7D8ABB62"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sidR="00FF348D">
        <w:rPr>
          <w:rFonts w:ascii="Times New Roman" w:hAnsi="Times New Roman"/>
          <w:sz w:val="28"/>
          <w:szCs w:val="28"/>
        </w:rPr>
        <w:t>а</w:t>
      </w:r>
      <w:r w:rsidR="00BE7A85" w:rsidRPr="00D35EAF">
        <w:rPr>
          <w:rFonts w:ascii="Times New Roman" w:hAnsi="Times New Roman"/>
          <w:sz w:val="28"/>
          <w:szCs w:val="28"/>
        </w:rPr>
        <w:t xml:space="preserve"> </w:t>
      </w:r>
      <w:r w:rsidR="00FF348D">
        <w:rPr>
          <w:rFonts w:ascii="Times New Roman" w:hAnsi="Times New Roman"/>
          <w:sz w:val="28"/>
          <w:szCs w:val="28"/>
        </w:rPr>
        <w:t xml:space="preserve">Лук’яненка Ю.В. </w:t>
      </w:r>
      <w:r w:rsidR="00FF348D">
        <w:rPr>
          <w:rFonts w:ascii="Times New Roman" w:hAnsi="Times New Roman"/>
          <w:sz w:val="28"/>
          <w:szCs w:val="28"/>
        </w:rPr>
        <w:br/>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виконанням службових обов’язків, за вчинення дій, що порочать звання прокурора і можуть викликати сумнів у його об’єктивності, неупередженості та незалежності, у чесності та не</w:t>
      </w:r>
      <w:r w:rsidR="00242B63">
        <w:rPr>
          <w:rFonts w:ascii="Times New Roman" w:hAnsi="Times New Roman"/>
          <w:sz w:val="28"/>
          <w:szCs w:val="28"/>
        </w:rPr>
        <w:t>підкупності органів прокуратури</w:t>
      </w:r>
      <w:r w:rsidR="00FF348D">
        <w:rPr>
          <w:rFonts w:ascii="Times New Roman" w:hAnsi="Times New Roman"/>
          <w:sz w:val="28"/>
          <w:szCs w:val="28"/>
        </w:rPr>
        <w:t xml:space="preserve"> та систематичне (два і більше разів протягом одного року) або одноразове грубе порушення правил прокурорської етики</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76746E49"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9F5725">
        <w:rPr>
          <w:rFonts w:ascii="Times New Roman" w:hAnsi="Times New Roman"/>
          <w:sz w:val="28"/>
          <w:szCs w:val="28"/>
        </w:rPr>
        <w:t xml:space="preserve"> </w:t>
      </w:r>
      <w:r w:rsidR="00FF348D">
        <w:rPr>
          <w:rFonts w:ascii="Times New Roman" w:hAnsi="Times New Roman"/>
          <w:sz w:val="28"/>
          <w:szCs w:val="28"/>
        </w:rPr>
        <w:t xml:space="preserve">обвинувального акта стосовно </w:t>
      </w:r>
      <w:r w:rsidR="00F368D1">
        <w:rPr>
          <w:rFonts w:ascii="Times New Roman" w:hAnsi="Times New Roman"/>
          <w:sz w:val="28"/>
          <w:szCs w:val="28"/>
        </w:rPr>
        <w:t xml:space="preserve">ОСОБА_1 </w:t>
      </w:r>
      <w:r w:rsidR="00FF348D">
        <w:rPr>
          <w:rFonts w:ascii="Times New Roman" w:hAnsi="Times New Roman"/>
          <w:sz w:val="28"/>
          <w:szCs w:val="28"/>
        </w:rPr>
        <w:t xml:space="preserve">від 24.12.2024; обвинувального акта стосовно </w:t>
      </w:r>
      <w:r w:rsidR="00F368D1">
        <w:rPr>
          <w:rFonts w:ascii="Times New Roman" w:hAnsi="Times New Roman"/>
          <w:sz w:val="28"/>
          <w:szCs w:val="28"/>
        </w:rPr>
        <w:t>ОСОБА_2</w:t>
      </w:r>
      <w:r w:rsidR="008265B8">
        <w:rPr>
          <w:rFonts w:ascii="Times New Roman" w:hAnsi="Times New Roman"/>
          <w:sz w:val="28"/>
          <w:szCs w:val="28"/>
        </w:rPr>
        <w:t xml:space="preserve"> </w:t>
      </w:r>
      <w:r w:rsidR="00FF348D">
        <w:rPr>
          <w:rFonts w:ascii="Times New Roman" w:hAnsi="Times New Roman"/>
          <w:sz w:val="28"/>
          <w:szCs w:val="28"/>
        </w:rPr>
        <w:t xml:space="preserve">від 17.12.2024; угоди між прокурором Лук’яненком Ю.В. та підозрюваним </w:t>
      </w:r>
      <w:r w:rsidR="00F368D1">
        <w:rPr>
          <w:rFonts w:ascii="Times New Roman" w:hAnsi="Times New Roman"/>
          <w:sz w:val="28"/>
          <w:szCs w:val="28"/>
        </w:rPr>
        <w:t xml:space="preserve">ОСОБА_2 </w:t>
      </w:r>
      <w:r w:rsidR="00FF348D">
        <w:rPr>
          <w:rFonts w:ascii="Times New Roman" w:hAnsi="Times New Roman"/>
          <w:sz w:val="28"/>
          <w:szCs w:val="28"/>
        </w:rPr>
        <w:t xml:space="preserve">про визнання винуватості; скарги </w:t>
      </w:r>
      <w:r w:rsidR="00F368D1">
        <w:rPr>
          <w:rFonts w:ascii="Times New Roman" w:hAnsi="Times New Roman"/>
          <w:sz w:val="28"/>
          <w:szCs w:val="28"/>
        </w:rPr>
        <w:t xml:space="preserve">ОСОБА_1 </w:t>
      </w:r>
      <w:r w:rsidR="000A7A50">
        <w:rPr>
          <w:rFonts w:ascii="Times New Roman" w:hAnsi="Times New Roman"/>
          <w:sz w:val="28"/>
          <w:szCs w:val="28"/>
        </w:rPr>
        <w:t xml:space="preserve">від 05.11.2024 </w:t>
      </w:r>
      <w:r w:rsidR="00FF348D">
        <w:rPr>
          <w:rFonts w:ascii="Times New Roman" w:hAnsi="Times New Roman"/>
          <w:sz w:val="28"/>
          <w:szCs w:val="28"/>
        </w:rPr>
        <w:t xml:space="preserve">до </w:t>
      </w:r>
      <w:proofErr w:type="spellStart"/>
      <w:r w:rsidR="00FF348D">
        <w:rPr>
          <w:rFonts w:ascii="Times New Roman" w:hAnsi="Times New Roman"/>
          <w:sz w:val="28"/>
          <w:szCs w:val="28"/>
        </w:rPr>
        <w:t>Ковпаківського</w:t>
      </w:r>
      <w:proofErr w:type="spellEnd"/>
      <w:r w:rsidR="00FF348D">
        <w:rPr>
          <w:rFonts w:ascii="Times New Roman" w:hAnsi="Times New Roman"/>
          <w:sz w:val="28"/>
          <w:szCs w:val="28"/>
        </w:rPr>
        <w:t xml:space="preserve"> районного суду м. Суми на бездіяльність слідчого; </w:t>
      </w:r>
      <w:r w:rsidR="000A7A50">
        <w:rPr>
          <w:rFonts w:ascii="Times New Roman" w:hAnsi="Times New Roman"/>
          <w:sz w:val="28"/>
          <w:szCs w:val="28"/>
        </w:rPr>
        <w:t xml:space="preserve">ухвали слідчого судді </w:t>
      </w:r>
      <w:proofErr w:type="spellStart"/>
      <w:r w:rsidR="000A7A50">
        <w:rPr>
          <w:rFonts w:ascii="Times New Roman" w:hAnsi="Times New Roman"/>
          <w:sz w:val="28"/>
          <w:szCs w:val="28"/>
        </w:rPr>
        <w:t>Ковпаківського</w:t>
      </w:r>
      <w:proofErr w:type="spellEnd"/>
      <w:r w:rsidR="000A7A50">
        <w:rPr>
          <w:rFonts w:ascii="Times New Roman" w:hAnsi="Times New Roman"/>
          <w:sz w:val="28"/>
          <w:szCs w:val="28"/>
        </w:rPr>
        <w:t xml:space="preserve"> районного суду м. Суми  від 07.11.2024; </w:t>
      </w:r>
      <w:r w:rsidR="00FF348D">
        <w:rPr>
          <w:rFonts w:ascii="Times New Roman" w:hAnsi="Times New Roman"/>
          <w:sz w:val="28"/>
          <w:szCs w:val="28"/>
        </w:rPr>
        <w:t>витягу з ЄРДР від 0</w:t>
      </w:r>
      <w:r w:rsidR="00FD4A2F">
        <w:rPr>
          <w:rFonts w:ascii="Times New Roman" w:hAnsi="Times New Roman"/>
          <w:sz w:val="28"/>
          <w:szCs w:val="28"/>
        </w:rPr>
        <w:t>2</w:t>
      </w:r>
      <w:r w:rsidR="00FF348D">
        <w:rPr>
          <w:rFonts w:ascii="Times New Roman" w:hAnsi="Times New Roman"/>
          <w:sz w:val="28"/>
          <w:szCs w:val="28"/>
        </w:rPr>
        <w:t>.10.2024</w:t>
      </w:r>
      <w:r w:rsidR="00FD4A2F">
        <w:rPr>
          <w:rFonts w:ascii="Times New Roman" w:hAnsi="Times New Roman"/>
          <w:sz w:val="28"/>
          <w:szCs w:val="28"/>
        </w:rPr>
        <w:t xml:space="preserve"> № </w:t>
      </w:r>
      <w:r w:rsidR="008265B8">
        <w:rPr>
          <w:rFonts w:ascii="Times New Roman" w:hAnsi="Times New Roman"/>
          <w:sz w:val="28"/>
          <w:szCs w:val="28"/>
        </w:rPr>
        <w:t>(конфіденційна інформація)</w:t>
      </w:r>
      <w:r w:rsidR="00FD4A2F">
        <w:rPr>
          <w:rFonts w:ascii="Times New Roman" w:hAnsi="Times New Roman"/>
          <w:sz w:val="28"/>
          <w:szCs w:val="28"/>
        </w:rPr>
        <w:t>; витягу з ЄРДР від 23.12.2024 № </w:t>
      </w:r>
      <w:r w:rsidR="008265B8">
        <w:rPr>
          <w:rFonts w:ascii="Times New Roman" w:hAnsi="Times New Roman"/>
          <w:sz w:val="28"/>
          <w:szCs w:val="28"/>
        </w:rPr>
        <w:t>(конфіденційна інформація)</w:t>
      </w:r>
      <w:r w:rsidR="00FD4A2F">
        <w:rPr>
          <w:rFonts w:ascii="Times New Roman" w:hAnsi="Times New Roman"/>
          <w:sz w:val="28"/>
          <w:szCs w:val="28"/>
        </w:rPr>
        <w:t>; постанови прокурора Лук’яненка Ю.В. від 08.01.2025 про відмову у задоволенні клопотання адвоката Щербак</w:t>
      </w:r>
      <w:r w:rsidR="008265B8">
        <w:rPr>
          <w:rFonts w:ascii="Times New Roman" w:hAnsi="Times New Roman"/>
          <w:sz w:val="28"/>
          <w:szCs w:val="28"/>
        </w:rPr>
        <w:t> </w:t>
      </w:r>
      <w:r w:rsidR="00FD4A2F">
        <w:rPr>
          <w:rFonts w:ascii="Times New Roman" w:hAnsi="Times New Roman"/>
          <w:sz w:val="28"/>
          <w:szCs w:val="28"/>
        </w:rPr>
        <w:t xml:space="preserve">С.В.; скарги </w:t>
      </w:r>
      <w:r w:rsidR="00F368D1">
        <w:rPr>
          <w:rFonts w:ascii="Times New Roman" w:hAnsi="Times New Roman"/>
          <w:sz w:val="28"/>
          <w:szCs w:val="28"/>
        </w:rPr>
        <w:t xml:space="preserve">ОСОБА_1 </w:t>
      </w:r>
      <w:r w:rsidR="000A7A50">
        <w:rPr>
          <w:rFonts w:ascii="Times New Roman" w:hAnsi="Times New Roman"/>
          <w:sz w:val="28"/>
          <w:szCs w:val="28"/>
        </w:rPr>
        <w:t xml:space="preserve">від 17.12.2024 </w:t>
      </w:r>
      <w:r w:rsidR="00FD4A2F">
        <w:rPr>
          <w:rFonts w:ascii="Times New Roman" w:hAnsi="Times New Roman"/>
          <w:sz w:val="28"/>
          <w:szCs w:val="28"/>
        </w:rPr>
        <w:t>на бездіяльність посадових осіб Сумського районного управління поліції ГУНП в Сумській області; ухвали Сумського апеляційного суду від 05.02.2025</w:t>
      </w:r>
      <w:r w:rsidR="00E864B5">
        <w:rPr>
          <w:rFonts w:ascii="Times New Roman" w:hAnsi="Times New Roman"/>
          <w:sz w:val="28"/>
          <w:szCs w:val="28"/>
        </w:rPr>
        <w:t xml:space="preserve"> про задоволення апеляційної скарги </w:t>
      </w:r>
      <w:r w:rsidR="00F368D1">
        <w:rPr>
          <w:rFonts w:ascii="Times New Roman" w:hAnsi="Times New Roman"/>
          <w:sz w:val="28"/>
          <w:szCs w:val="28"/>
        </w:rPr>
        <w:t>ОСОБА_1</w:t>
      </w:r>
      <w:r w:rsidR="00FD4A2F">
        <w:rPr>
          <w:rFonts w:ascii="Times New Roman" w:hAnsi="Times New Roman"/>
          <w:sz w:val="28"/>
          <w:szCs w:val="28"/>
        </w:rPr>
        <w:t xml:space="preserve">; диск із </w:t>
      </w:r>
      <w:proofErr w:type="spellStart"/>
      <w:r w:rsidR="00FD4A2F">
        <w:rPr>
          <w:rFonts w:ascii="Times New Roman" w:hAnsi="Times New Roman"/>
          <w:sz w:val="28"/>
          <w:szCs w:val="28"/>
        </w:rPr>
        <w:t>відоезаписом</w:t>
      </w:r>
      <w:proofErr w:type="spellEnd"/>
      <w:r w:rsidR="00FD4A2F">
        <w:rPr>
          <w:rFonts w:ascii="Times New Roman" w:hAnsi="Times New Roman"/>
          <w:sz w:val="28"/>
          <w:szCs w:val="28"/>
        </w:rPr>
        <w:t xml:space="preserve"> подій від 28.09.2024</w:t>
      </w:r>
      <w:r w:rsidR="00D35EAF" w:rsidRPr="00AE4671">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w:t>
      </w:r>
      <w:r w:rsidRPr="00337273">
        <w:rPr>
          <w:rFonts w:ascii="Times New Roman" w:hAnsi="Times New Roman"/>
          <w:sz w:val="28"/>
          <w:szCs w:val="28"/>
        </w:rPr>
        <w:lastRenderedPageBreak/>
        <w:t xml:space="preserve">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w:t>
      </w:r>
      <w:r w:rsidRPr="0005661F">
        <w:rPr>
          <w:rFonts w:ascii="Times New Roman" w:eastAsia="Times New Roman" w:hAnsi="Times New Roman"/>
          <w:sz w:val="28"/>
          <w:szCs w:val="28"/>
          <w:lang w:eastAsia="ru-RU"/>
        </w:rPr>
        <w:lastRenderedPageBreak/>
        <w:t>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89523E">
        <w:rPr>
          <w:rFonts w:ascii="Times New Roman" w:hAnsi="Times New Roman"/>
          <w:bCs/>
          <w:sz w:val="28"/>
          <w:szCs w:val="28"/>
        </w:rPr>
        <w:lastRenderedPageBreak/>
        <w:t>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0965E85D"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F368D1">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49C3D41F"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E13B70">
        <w:rPr>
          <w:rFonts w:ascii="Times New Roman" w:hAnsi="Times New Roman"/>
          <w:sz w:val="28"/>
          <w:szCs w:val="28"/>
        </w:rPr>
        <w:t>ом</w:t>
      </w:r>
      <w:r w:rsidR="007420E5" w:rsidRPr="00D35EAF">
        <w:rPr>
          <w:rFonts w:ascii="Times New Roman" w:hAnsi="Times New Roman"/>
          <w:sz w:val="28"/>
          <w:szCs w:val="28"/>
        </w:rPr>
        <w:t xml:space="preserve"> </w:t>
      </w:r>
      <w:r w:rsidR="00E13B70">
        <w:rPr>
          <w:rFonts w:ascii="Times New Roman" w:hAnsi="Times New Roman"/>
          <w:sz w:val="28"/>
          <w:szCs w:val="28"/>
        </w:rPr>
        <w:t>Лук’яненком Ю.В</w:t>
      </w:r>
      <w:r w:rsidR="00171B6E" w:rsidRPr="00D35EAF">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E13B70">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70950A1E"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E13B70">
        <w:rPr>
          <w:rFonts w:ascii="Times New Roman" w:hAnsi="Times New Roman"/>
          <w:sz w:val="28"/>
          <w:szCs w:val="28"/>
        </w:rPr>
        <w:t>а</w:t>
      </w:r>
      <w:r w:rsidR="00171B6E" w:rsidRPr="00D35EAF">
        <w:rPr>
          <w:rFonts w:ascii="Times New Roman" w:hAnsi="Times New Roman"/>
          <w:sz w:val="28"/>
          <w:szCs w:val="28"/>
        </w:rPr>
        <w:t xml:space="preserve"> </w:t>
      </w:r>
      <w:r w:rsidR="00E13B70">
        <w:rPr>
          <w:rFonts w:ascii="Times New Roman" w:hAnsi="Times New Roman"/>
          <w:sz w:val="28"/>
          <w:szCs w:val="28"/>
        </w:rPr>
        <w:t>Лук’яненка Ю.В</w:t>
      </w:r>
      <w:r w:rsidR="00E13B70" w:rsidRPr="00D35EAF">
        <w:rPr>
          <w:rFonts w:ascii="Times New Roman" w:hAnsi="Times New Roman"/>
          <w:sz w:val="28"/>
          <w:szCs w:val="28"/>
        </w:rPr>
        <w:t>.</w:t>
      </w:r>
      <w:r w:rsidR="00E13B70">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47A27C78"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F368D1">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w:t>
      </w:r>
      <w:r w:rsidR="00E13B70">
        <w:rPr>
          <w:rFonts w:ascii="Times New Roman" w:hAnsi="Times New Roman"/>
          <w:sz w:val="28"/>
          <w:szCs w:val="28"/>
        </w:rPr>
        <w:t>их</w:t>
      </w:r>
      <w:r w:rsidR="00A05892" w:rsidRPr="00D35EAF">
        <w:rPr>
          <w:rFonts w:ascii="Times New Roman" w:hAnsi="Times New Roman"/>
          <w:sz w:val="28"/>
          <w:szCs w:val="28"/>
        </w:rPr>
        <w:t xml:space="preserve"> проваджен</w:t>
      </w:r>
      <w:r w:rsidR="00E13B70">
        <w:rPr>
          <w:rFonts w:ascii="Times New Roman" w:hAnsi="Times New Roman"/>
          <w:sz w:val="28"/>
          <w:szCs w:val="28"/>
        </w:rPr>
        <w:t>ь</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 прокурор</w:t>
      </w:r>
      <w:r w:rsidR="00E13B70">
        <w:rPr>
          <w:rFonts w:ascii="Times New Roman" w:hAnsi="Times New Roman"/>
          <w:sz w:val="28"/>
          <w:szCs w:val="28"/>
        </w:rPr>
        <w:t>а</w:t>
      </w:r>
      <w:r w:rsidR="006E0CD9" w:rsidRPr="00D35EAF">
        <w:rPr>
          <w:rFonts w:ascii="Times New Roman" w:hAnsi="Times New Roman"/>
          <w:sz w:val="28"/>
          <w:szCs w:val="28"/>
        </w:rPr>
        <w:t>, як</w:t>
      </w:r>
      <w:r w:rsidR="00E13B70">
        <w:rPr>
          <w:rFonts w:ascii="Times New Roman" w:hAnsi="Times New Roman"/>
          <w:sz w:val="28"/>
          <w:szCs w:val="28"/>
        </w:rPr>
        <w:t>ий</w:t>
      </w:r>
      <w:r w:rsidR="006E0CD9" w:rsidRPr="00D35EAF">
        <w:rPr>
          <w:rFonts w:ascii="Times New Roman" w:hAnsi="Times New Roman"/>
          <w:sz w:val="28"/>
          <w:szCs w:val="28"/>
        </w:rPr>
        <w:t xml:space="preserve"> здійсню</w:t>
      </w:r>
      <w:r w:rsidR="00E13B70">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E13B70">
        <w:rPr>
          <w:rFonts w:ascii="Times New Roman" w:hAnsi="Times New Roman"/>
          <w:sz w:val="28"/>
          <w:szCs w:val="28"/>
        </w:rPr>
        <w:t>№ </w:t>
      </w:r>
      <w:r w:rsidR="008265B8">
        <w:rPr>
          <w:rFonts w:ascii="Times New Roman" w:hAnsi="Times New Roman"/>
          <w:sz w:val="28"/>
          <w:szCs w:val="28"/>
        </w:rPr>
        <w:t xml:space="preserve">(конфіденційна інформація) </w:t>
      </w:r>
      <w:r w:rsidR="00E13B70">
        <w:rPr>
          <w:rFonts w:ascii="Times New Roman" w:hAnsi="Times New Roman"/>
          <w:sz w:val="28"/>
          <w:szCs w:val="28"/>
        </w:rPr>
        <w:t>та інших</w:t>
      </w:r>
      <w:r w:rsidR="006E0CD9" w:rsidRPr="00D35EAF">
        <w:rPr>
          <w:rFonts w:ascii="Times New Roman" w:hAnsi="Times New Roman"/>
          <w:sz w:val="28"/>
          <w:szCs w:val="28"/>
        </w:rPr>
        <w:t xml:space="preserve">. </w:t>
      </w:r>
    </w:p>
    <w:p w14:paraId="14CF88FD" w14:textId="7132A3F3"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E13B70">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 xml:space="preserve">у </w:t>
      </w:r>
      <w:proofErr w:type="spellStart"/>
      <w:r w:rsidR="00A24F1B" w:rsidRPr="00D35EAF">
        <w:rPr>
          <w:rFonts w:ascii="Times New Roman" w:hAnsi="Times New Roman"/>
          <w:sz w:val="28"/>
          <w:szCs w:val="28"/>
        </w:rPr>
        <w:t>поза</w:t>
      </w:r>
      <w:r w:rsidR="00F67165" w:rsidRPr="00D35EAF">
        <w:rPr>
          <w:rFonts w:ascii="Times New Roman" w:hAnsi="Times New Roman"/>
          <w:sz w:val="28"/>
          <w:szCs w:val="28"/>
        </w:rPr>
        <w:t>процесуальний</w:t>
      </w:r>
      <w:proofErr w:type="spellEnd"/>
      <w:r w:rsidR="00F67165" w:rsidRPr="00D35EAF">
        <w:rPr>
          <w:rFonts w:ascii="Times New Roman" w:hAnsi="Times New Roman"/>
          <w:sz w:val="28"/>
          <w:szCs w:val="28"/>
        </w:rPr>
        <w:t xml:space="preserve">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E13B70">
        <w:rPr>
          <w:rFonts w:ascii="Times New Roman" w:hAnsi="Times New Roman"/>
          <w:sz w:val="28"/>
          <w:szCs w:val="28"/>
        </w:rPr>
        <w:t>його</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1F24FF24"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Кримінальне провадження здійснюється на основі змагальності, що передбачає самостійне обстоювання стороною обвинувачення і стороною </w:t>
      </w:r>
      <w:r w:rsidRPr="00171B6E">
        <w:rPr>
          <w:rFonts w:ascii="Times New Roman" w:eastAsia="Times New Roman" w:hAnsi="Times New Roman"/>
          <w:sz w:val="28"/>
          <w:szCs w:val="28"/>
          <w:lang w:eastAsia="uk-UA"/>
        </w:rPr>
        <w:lastRenderedPageBreak/>
        <w:t>захисту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846DA41" w14:textId="7D15D873" w:rsidR="00E864B5" w:rsidRPr="00E864B5" w:rsidRDefault="00E864B5" w:rsidP="00492C7A">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прокурором </w:t>
      </w:r>
      <w:r>
        <w:rPr>
          <w:rFonts w:ascii="Times New Roman" w:hAnsi="Times New Roman"/>
          <w:sz w:val="28"/>
          <w:szCs w:val="28"/>
        </w:rPr>
        <w:t xml:space="preserve">Лук’яненком Ю.В. </w:t>
      </w:r>
      <w:r>
        <w:rPr>
          <w:rFonts w:ascii="Times New Roman" w:hAnsi="Times New Roman"/>
          <w:sz w:val="28"/>
          <w:szCs w:val="28"/>
        </w:rPr>
        <w:br/>
      </w:r>
      <w:r w:rsidRPr="00693101">
        <w:rPr>
          <w:rFonts w:ascii="Times New Roman" w:hAnsi="Times New Roman"/>
          <w:sz w:val="28"/>
          <w:szCs w:val="28"/>
        </w:rPr>
        <w:t>без відповідн</w:t>
      </w:r>
      <w:r w:rsidR="00C031B7">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w:t>
      </w:r>
      <w:r w:rsidRPr="00E864B5">
        <w:rPr>
          <w:rFonts w:ascii="Times New Roman" w:eastAsia="Times New Roman" w:hAnsi="Times New Roman"/>
          <w:sz w:val="28"/>
          <w:szCs w:val="28"/>
          <w:lang w:eastAsia="uk-UA"/>
        </w:rPr>
        <w:t xml:space="preserve">. </w:t>
      </w:r>
    </w:p>
    <w:p w14:paraId="4F07159D" w14:textId="03E31886"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A36438">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E13B70">
        <w:rPr>
          <w:rFonts w:ascii="Times New Roman" w:hAnsi="Times New Roman"/>
          <w:sz w:val="28"/>
          <w:szCs w:val="28"/>
        </w:rPr>
        <w:t>Лук’яненком Ю.В.</w:t>
      </w:r>
      <w:r w:rsidR="004E6131">
        <w:rPr>
          <w:rFonts w:ascii="Times New Roman" w:hAnsi="Times New Roman"/>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D03478D" w14:textId="77777777" w:rsidR="00497914" w:rsidRDefault="00497914" w:rsidP="00497914">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8724B9B" w14:textId="5CED463B" w:rsidR="00E13B70" w:rsidRDefault="00B058B3" w:rsidP="00C031B7">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E13B70">
        <w:rPr>
          <w:rFonts w:ascii="Times New Roman" w:hAnsi="Times New Roman"/>
          <w:sz w:val="28"/>
          <w:szCs w:val="28"/>
        </w:rPr>
        <w:t>Лук’яненком Ю.В.</w:t>
      </w:r>
      <w:r w:rsidR="004E6131">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7A09CC7D" w14:textId="40843952"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E13B70">
        <w:rPr>
          <w:rFonts w:ascii="Times New Roman" w:hAnsi="Times New Roman"/>
          <w:sz w:val="28"/>
          <w:szCs w:val="28"/>
        </w:rPr>
        <w:t>о</w:t>
      </w:r>
      <w:r w:rsidRPr="00693101">
        <w:rPr>
          <w:rFonts w:ascii="Times New Roman" w:hAnsi="Times New Roman"/>
          <w:sz w:val="28"/>
          <w:szCs w:val="28"/>
        </w:rPr>
        <w:t xml:space="preserve">м </w:t>
      </w:r>
      <w:r w:rsidR="00E13B70">
        <w:rPr>
          <w:rFonts w:ascii="Times New Roman" w:hAnsi="Times New Roman"/>
          <w:sz w:val="28"/>
          <w:szCs w:val="28"/>
        </w:rPr>
        <w:t>Лук’яненком Ю.В.</w:t>
      </w:r>
      <w:r w:rsidRPr="00693101">
        <w:rPr>
          <w:rFonts w:ascii="Times New Roman" w:hAnsi="Times New Roman"/>
          <w:sz w:val="28"/>
          <w:szCs w:val="28"/>
        </w:rPr>
        <w:t>, оскільки твердження автора скарги про не вчинення прокурором дій спрямованих на додержання законів під час досудового розслідування, без відповідного судового рішення, є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lastRenderedPageBreak/>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0AD0BC87"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E13B70">
        <w:rPr>
          <w:rFonts w:ascii="Times New Roman" w:hAnsi="Times New Roman"/>
          <w:sz w:val="28"/>
          <w:szCs w:val="28"/>
        </w:rPr>
        <w:t>прокурора Окружної прокуратури міста Суми Сумської області Лук’яненка Юрія Вікторовича</w:t>
      </w:r>
      <w:r w:rsidR="00A15180" w:rsidRPr="00D35EAF">
        <w:rPr>
          <w:rFonts w:ascii="Times New Roman" w:hAnsi="Times New Roman"/>
          <w:sz w:val="28"/>
          <w:szCs w:val="28"/>
        </w:rPr>
        <w:t>.</w:t>
      </w:r>
    </w:p>
    <w:p w14:paraId="20751488" w14:textId="2966B5F3"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E13B70">
        <w:rPr>
          <w:rFonts w:ascii="Times New Roman" w:hAnsi="Times New Roman"/>
          <w:sz w:val="28"/>
          <w:szCs w:val="28"/>
        </w:rPr>
        <w:t>о</w:t>
      </w:r>
      <w:r w:rsidR="00225470">
        <w:rPr>
          <w:rFonts w:ascii="Times New Roman" w:hAnsi="Times New Roman"/>
          <w:sz w:val="28"/>
          <w:szCs w:val="28"/>
        </w:rPr>
        <w:t>м</w:t>
      </w:r>
      <w:r w:rsidR="00E13B70">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335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83A3" w14:textId="77777777" w:rsidR="00CB64DB" w:rsidRDefault="00CB64DB" w:rsidP="006C0F80">
      <w:pPr>
        <w:spacing w:after="0" w:line="240" w:lineRule="auto"/>
      </w:pPr>
      <w:r>
        <w:separator/>
      </w:r>
    </w:p>
  </w:endnote>
  <w:endnote w:type="continuationSeparator" w:id="0">
    <w:p w14:paraId="00CC90B5" w14:textId="77777777" w:rsidR="00CB64DB" w:rsidRDefault="00CB64DB"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5BA2B" w14:textId="77777777" w:rsidR="00CB64DB" w:rsidRDefault="00CB64DB" w:rsidP="006C0F80">
      <w:pPr>
        <w:spacing w:after="0" w:line="240" w:lineRule="auto"/>
      </w:pPr>
      <w:r>
        <w:separator/>
      </w:r>
    </w:p>
  </w:footnote>
  <w:footnote w:type="continuationSeparator" w:id="0">
    <w:p w14:paraId="5CCB8FAD" w14:textId="77777777" w:rsidR="00CB64DB" w:rsidRDefault="00CB64DB"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7353"/>
      <w:docPartObj>
        <w:docPartGallery w:val="Page Numbers (Top of Page)"/>
        <w:docPartUnique/>
      </w:docPartObj>
    </w:sdtPr>
    <w:sdtEndPr/>
    <w:sdtContent>
      <w:p w14:paraId="5DA8D9E5" w14:textId="560B7612" w:rsidR="006C0F80" w:rsidRDefault="006C0F80">
        <w:pPr>
          <w:pStyle w:val="a4"/>
          <w:jc w:val="center"/>
        </w:pPr>
        <w:r>
          <w:fldChar w:fldCharType="begin"/>
        </w:r>
        <w:r>
          <w:instrText>PAGE   \* MERGEFORMAT</w:instrText>
        </w:r>
        <w:r>
          <w:fldChar w:fldCharType="separate"/>
        </w:r>
        <w:r w:rsidR="002F54B4">
          <w:rPr>
            <w:noProof/>
          </w:rPr>
          <w:t>8</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B6"/>
    <w:rsid w:val="0004259C"/>
    <w:rsid w:val="00051B58"/>
    <w:rsid w:val="000536B7"/>
    <w:rsid w:val="00060104"/>
    <w:rsid w:val="000604D0"/>
    <w:rsid w:val="000753F0"/>
    <w:rsid w:val="000A196E"/>
    <w:rsid w:val="000A7A50"/>
    <w:rsid w:val="000F6B8D"/>
    <w:rsid w:val="001035D9"/>
    <w:rsid w:val="001103A1"/>
    <w:rsid w:val="001138EA"/>
    <w:rsid w:val="001147B7"/>
    <w:rsid w:val="00135EB3"/>
    <w:rsid w:val="001417FF"/>
    <w:rsid w:val="00141ED3"/>
    <w:rsid w:val="00160494"/>
    <w:rsid w:val="00161F39"/>
    <w:rsid w:val="00171B6E"/>
    <w:rsid w:val="0019507F"/>
    <w:rsid w:val="001A5D82"/>
    <w:rsid w:val="001B12FC"/>
    <w:rsid w:val="001C186B"/>
    <w:rsid w:val="001C43D9"/>
    <w:rsid w:val="001D1BAE"/>
    <w:rsid w:val="001E623B"/>
    <w:rsid w:val="00206CBC"/>
    <w:rsid w:val="002212CC"/>
    <w:rsid w:val="00225470"/>
    <w:rsid w:val="002371EB"/>
    <w:rsid w:val="00242B63"/>
    <w:rsid w:val="002444CE"/>
    <w:rsid w:val="00263511"/>
    <w:rsid w:val="00263E3F"/>
    <w:rsid w:val="0029798E"/>
    <w:rsid w:val="002B3C41"/>
    <w:rsid w:val="002C0885"/>
    <w:rsid w:val="002C7FEA"/>
    <w:rsid w:val="002E0CDF"/>
    <w:rsid w:val="002E30D7"/>
    <w:rsid w:val="002F1813"/>
    <w:rsid w:val="002F54B4"/>
    <w:rsid w:val="00361F40"/>
    <w:rsid w:val="00362307"/>
    <w:rsid w:val="00367177"/>
    <w:rsid w:val="0037293B"/>
    <w:rsid w:val="003750E8"/>
    <w:rsid w:val="00386433"/>
    <w:rsid w:val="0039002F"/>
    <w:rsid w:val="003936C3"/>
    <w:rsid w:val="003A0077"/>
    <w:rsid w:val="003A1EA6"/>
    <w:rsid w:val="003C3014"/>
    <w:rsid w:val="003F2D0A"/>
    <w:rsid w:val="00423D74"/>
    <w:rsid w:val="00427611"/>
    <w:rsid w:val="00462E83"/>
    <w:rsid w:val="004777FA"/>
    <w:rsid w:val="004802C0"/>
    <w:rsid w:val="004824F2"/>
    <w:rsid w:val="00492C7A"/>
    <w:rsid w:val="00497914"/>
    <w:rsid w:val="004B4457"/>
    <w:rsid w:val="004D0E0F"/>
    <w:rsid w:val="004E6131"/>
    <w:rsid w:val="005105FC"/>
    <w:rsid w:val="005338C2"/>
    <w:rsid w:val="005367C3"/>
    <w:rsid w:val="00536AE8"/>
    <w:rsid w:val="00542752"/>
    <w:rsid w:val="0056322B"/>
    <w:rsid w:val="00567F7E"/>
    <w:rsid w:val="00586516"/>
    <w:rsid w:val="00593144"/>
    <w:rsid w:val="005B79B5"/>
    <w:rsid w:val="005D03B5"/>
    <w:rsid w:val="005D390B"/>
    <w:rsid w:val="005E4946"/>
    <w:rsid w:val="005E4EFD"/>
    <w:rsid w:val="005E5D39"/>
    <w:rsid w:val="005F50BC"/>
    <w:rsid w:val="005F6F76"/>
    <w:rsid w:val="00602F4F"/>
    <w:rsid w:val="0064018E"/>
    <w:rsid w:val="006441B5"/>
    <w:rsid w:val="0065004D"/>
    <w:rsid w:val="00652620"/>
    <w:rsid w:val="00655635"/>
    <w:rsid w:val="00657351"/>
    <w:rsid w:val="00680963"/>
    <w:rsid w:val="00683178"/>
    <w:rsid w:val="00683C0F"/>
    <w:rsid w:val="00693101"/>
    <w:rsid w:val="006A0607"/>
    <w:rsid w:val="006A580B"/>
    <w:rsid w:val="006B216E"/>
    <w:rsid w:val="006B32EA"/>
    <w:rsid w:val="006C0F80"/>
    <w:rsid w:val="006C143D"/>
    <w:rsid w:val="006D6583"/>
    <w:rsid w:val="006D79BD"/>
    <w:rsid w:val="006E0CD9"/>
    <w:rsid w:val="006F3CEF"/>
    <w:rsid w:val="006F40A8"/>
    <w:rsid w:val="00703B5C"/>
    <w:rsid w:val="007124E6"/>
    <w:rsid w:val="00722216"/>
    <w:rsid w:val="00724A2B"/>
    <w:rsid w:val="00724F05"/>
    <w:rsid w:val="00734F05"/>
    <w:rsid w:val="00737DBA"/>
    <w:rsid w:val="007420E5"/>
    <w:rsid w:val="00755953"/>
    <w:rsid w:val="0078760F"/>
    <w:rsid w:val="00796068"/>
    <w:rsid w:val="007A0797"/>
    <w:rsid w:val="007A4612"/>
    <w:rsid w:val="007E28E0"/>
    <w:rsid w:val="007E331E"/>
    <w:rsid w:val="007F2CB5"/>
    <w:rsid w:val="008265B8"/>
    <w:rsid w:val="0083022A"/>
    <w:rsid w:val="00833521"/>
    <w:rsid w:val="00843637"/>
    <w:rsid w:val="008461E8"/>
    <w:rsid w:val="008765A8"/>
    <w:rsid w:val="00886D8C"/>
    <w:rsid w:val="00897EAC"/>
    <w:rsid w:val="008A68A2"/>
    <w:rsid w:val="008D46FD"/>
    <w:rsid w:val="008E4EF0"/>
    <w:rsid w:val="0090652D"/>
    <w:rsid w:val="00921117"/>
    <w:rsid w:val="00924414"/>
    <w:rsid w:val="00945278"/>
    <w:rsid w:val="009C45E4"/>
    <w:rsid w:val="009F116D"/>
    <w:rsid w:val="009F5725"/>
    <w:rsid w:val="009F7057"/>
    <w:rsid w:val="00A05892"/>
    <w:rsid w:val="00A07BC6"/>
    <w:rsid w:val="00A15180"/>
    <w:rsid w:val="00A20461"/>
    <w:rsid w:val="00A24F1B"/>
    <w:rsid w:val="00A36438"/>
    <w:rsid w:val="00A51FB6"/>
    <w:rsid w:val="00A55934"/>
    <w:rsid w:val="00A705CF"/>
    <w:rsid w:val="00AA5C95"/>
    <w:rsid w:val="00AA5D0D"/>
    <w:rsid w:val="00AC1DB8"/>
    <w:rsid w:val="00AC5CD7"/>
    <w:rsid w:val="00AE43C4"/>
    <w:rsid w:val="00AE4671"/>
    <w:rsid w:val="00AF49A4"/>
    <w:rsid w:val="00B058B3"/>
    <w:rsid w:val="00B2024E"/>
    <w:rsid w:val="00B208B1"/>
    <w:rsid w:val="00B52118"/>
    <w:rsid w:val="00B5305D"/>
    <w:rsid w:val="00B60A09"/>
    <w:rsid w:val="00B8177E"/>
    <w:rsid w:val="00BB22DB"/>
    <w:rsid w:val="00BB4BC3"/>
    <w:rsid w:val="00BC3903"/>
    <w:rsid w:val="00BE1F46"/>
    <w:rsid w:val="00BE7A85"/>
    <w:rsid w:val="00BF25F3"/>
    <w:rsid w:val="00C031B7"/>
    <w:rsid w:val="00C5408D"/>
    <w:rsid w:val="00C87355"/>
    <w:rsid w:val="00CB64DB"/>
    <w:rsid w:val="00CB69EC"/>
    <w:rsid w:val="00CD384F"/>
    <w:rsid w:val="00CD413A"/>
    <w:rsid w:val="00CD4FDB"/>
    <w:rsid w:val="00D00414"/>
    <w:rsid w:val="00D249A1"/>
    <w:rsid w:val="00D35EAF"/>
    <w:rsid w:val="00D4548A"/>
    <w:rsid w:val="00D6009F"/>
    <w:rsid w:val="00D6750F"/>
    <w:rsid w:val="00D82465"/>
    <w:rsid w:val="00D83D89"/>
    <w:rsid w:val="00D91440"/>
    <w:rsid w:val="00DB2979"/>
    <w:rsid w:val="00DC29D9"/>
    <w:rsid w:val="00DC37BC"/>
    <w:rsid w:val="00DE630D"/>
    <w:rsid w:val="00DF29EA"/>
    <w:rsid w:val="00DF7ACA"/>
    <w:rsid w:val="00E026F4"/>
    <w:rsid w:val="00E13B70"/>
    <w:rsid w:val="00E530AD"/>
    <w:rsid w:val="00E73198"/>
    <w:rsid w:val="00E83073"/>
    <w:rsid w:val="00E840C7"/>
    <w:rsid w:val="00E864B5"/>
    <w:rsid w:val="00E874B4"/>
    <w:rsid w:val="00E87BE9"/>
    <w:rsid w:val="00ED2565"/>
    <w:rsid w:val="00ED31AB"/>
    <w:rsid w:val="00ED32E6"/>
    <w:rsid w:val="00F13B29"/>
    <w:rsid w:val="00F21FAB"/>
    <w:rsid w:val="00F31F10"/>
    <w:rsid w:val="00F368D1"/>
    <w:rsid w:val="00F67165"/>
    <w:rsid w:val="00F8456A"/>
    <w:rsid w:val="00FA0E74"/>
    <w:rsid w:val="00FA12AC"/>
    <w:rsid w:val="00FD4A2F"/>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12286</Words>
  <Characters>7004</Characters>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2024-12-11T07:05:00Z</cp:lastPrinted>
  <dcterms:created xsi:type="dcterms:W3CDTF">2025-03-21T09:05:00Z</dcterms:created>
  <dcterms:modified xsi:type="dcterms:W3CDTF">2025-03-21T10:30:00Z</dcterms:modified>
</cp:coreProperties>
</file>