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Pr="00367C65" w:rsidRDefault="00E11CEC"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Р І Ш Е Н Н Я</w:t>
      </w:r>
    </w:p>
    <w:p w14:paraId="69517B8F" w14:textId="77777777" w:rsidR="00C3790D" w:rsidRPr="00367C65" w:rsidRDefault="00C3790D"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49F3528E" w:rsidR="00C3790D" w:rsidRPr="00367C65" w:rsidRDefault="002728B7"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23</w:t>
            </w:r>
            <w:r w:rsidR="00542062">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липня</w:t>
            </w:r>
            <w:r w:rsidR="00C3790D" w:rsidRPr="00367C65">
              <w:rPr>
                <w:rFonts w:ascii="Times New Roman" w:eastAsia="Times New Roman" w:hAnsi="Times New Roman"/>
                <w:b/>
                <w:sz w:val="28"/>
                <w:szCs w:val="24"/>
                <w:lang w:eastAsia="ru-RU"/>
              </w:rPr>
              <w:t xml:space="preserve"> 202</w:t>
            </w:r>
            <w:r w:rsidR="00AD2E6E">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139CE39F"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2728B7">
              <w:rPr>
                <w:rFonts w:ascii="Times New Roman" w:eastAsia="Times New Roman" w:hAnsi="Times New Roman"/>
                <w:b/>
                <w:sz w:val="28"/>
                <w:szCs w:val="24"/>
                <w:lang w:eastAsia="ru-RU"/>
              </w:rPr>
              <w:t>53</w:t>
            </w:r>
            <w:r w:rsidR="00C271A3">
              <w:rPr>
                <w:rFonts w:ascii="Times New Roman" w:eastAsia="Times New Roman" w:hAnsi="Times New Roman"/>
                <w:b/>
                <w:sz w:val="28"/>
                <w:szCs w:val="24"/>
                <w:lang w:eastAsia="ru-RU"/>
              </w:rPr>
              <w:t>4</w:t>
            </w:r>
            <w:r w:rsidRPr="00367C65">
              <w:rPr>
                <w:rFonts w:ascii="Times New Roman" w:eastAsia="Times New Roman" w:hAnsi="Times New Roman"/>
                <w:b/>
                <w:sz w:val="28"/>
                <w:szCs w:val="24"/>
                <w:lang w:eastAsia="ru-RU"/>
              </w:rPr>
              <w:t>дс-2</w:t>
            </w:r>
            <w:r w:rsidR="00AD2E6E">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00D64599" w14:textId="3C153B2A" w:rsidR="00C3790D" w:rsidRPr="00367C65" w:rsidRDefault="00F31B81"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w:t>
      </w:r>
      <w:r w:rsidR="00542062">
        <w:rPr>
          <w:rFonts w:ascii="Times New Roman" w:hAnsi="Times New Roman"/>
          <w:sz w:val="28"/>
          <w:szCs w:val="28"/>
        </w:rPr>
        <w:t xml:space="preserve"> Мнишенко Є.С.</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BC5CF6" w:rsidRPr="00BC5CF6">
        <w:rPr>
          <w:rFonts w:ascii="Times New Roman" w:hAnsi="Times New Roman"/>
          <w:sz w:val="28"/>
          <w:szCs w:val="28"/>
        </w:rPr>
        <w:t xml:space="preserve">керівника Донецької обласної прокуратури Угровецького Павла Олеговича </w:t>
      </w:r>
      <w:r w:rsidR="00C3790D" w:rsidRPr="00367C65">
        <w:rPr>
          <w:rFonts w:ascii="Times New Roman" w:hAnsi="Times New Roman"/>
          <w:sz w:val="28"/>
          <w:szCs w:val="28"/>
        </w:rPr>
        <w:t>стосовно</w:t>
      </w:r>
      <w:r w:rsidR="00BC5CF6">
        <w:rPr>
          <w:rFonts w:ascii="Times New Roman" w:hAnsi="Times New Roman"/>
          <w:sz w:val="28"/>
          <w:szCs w:val="28"/>
        </w:rPr>
        <w:t xml:space="preserve"> </w:t>
      </w:r>
      <w:r w:rsidR="00C271A3">
        <w:rPr>
          <w:rFonts w:ascii="Times New Roman" w:hAnsi="Times New Roman"/>
          <w:sz w:val="28"/>
          <w:szCs w:val="28"/>
        </w:rPr>
        <w:t xml:space="preserve">першого заступника керівника Лівобережної </w:t>
      </w:r>
      <w:r w:rsidR="00BC5CF6">
        <w:rPr>
          <w:rFonts w:ascii="Times New Roman" w:hAnsi="Times New Roman"/>
          <w:sz w:val="28"/>
          <w:szCs w:val="28"/>
        </w:rPr>
        <w:t xml:space="preserve">окружної прокуратури Донецької </w:t>
      </w:r>
      <w:r w:rsidR="00AD2E6E">
        <w:rPr>
          <w:rFonts w:ascii="Times New Roman" w:hAnsi="Times New Roman"/>
          <w:sz w:val="28"/>
          <w:szCs w:val="28"/>
        </w:rPr>
        <w:t xml:space="preserve">області </w:t>
      </w:r>
      <w:r w:rsidR="00C271A3">
        <w:rPr>
          <w:rFonts w:ascii="Times New Roman" w:hAnsi="Times New Roman"/>
          <w:sz w:val="28"/>
          <w:szCs w:val="28"/>
        </w:rPr>
        <w:t>Даглі Євгена Костянтиновича</w:t>
      </w:r>
      <w:r w:rsidR="00AD2E6E">
        <w:rPr>
          <w:rFonts w:ascii="Times New Roman" w:hAnsi="Times New Roman"/>
          <w:sz w:val="28"/>
          <w:szCs w:val="28"/>
        </w:rPr>
        <w:t xml:space="preserve"> </w:t>
      </w:r>
      <w:r w:rsidR="00AD2E6E" w:rsidRPr="00AD2E6E">
        <w:rPr>
          <w:rStyle w:val="a7"/>
          <w:rFonts w:ascii="Times New Roman" w:hAnsi="Times New Roman"/>
          <w:i w:val="0"/>
          <w:iCs w:val="0"/>
          <w:sz w:val="28"/>
          <w:szCs w:val="28"/>
          <w:shd w:val="clear" w:color="auto" w:fill="FFFFFF"/>
        </w:rPr>
        <w:t xml:space="preserve">(далі – прокурор </w:t>
      </w:r>
      <w:r w:rsidR="00C271A3">
        <w:rPr>
          <w:rStyle w:val="a7"/>
          <w:rFonts w:ascii="Times New Roman" w:hAnsi="Times New Roman"/>
          <w:i w:val="0"/>
          <w:iCs w:val="0"/>
          <w:sz w:val="28"/>
          <w:szCs w:val="28"/>
          <w:shd w:val="clear" w:color="auto" w:fill="FFFFFF"/>
        </w:rPr>
        <w:t>Даглі Є.К.</w:t>
      </w:r>
      <w:r w:rsidR="00AD2E6E" w:rsidRPr="00AD2E6E">
        <w:rPr>
          <w:rStyle w:val="a7"/>
          <w:rFonts w:ascii="Times New Roman" w:hAnsi="Times New Roman"/>
          <w:i w:val="0"/>
          <w:iCs w:val="0"/>
          <w:sz w:val="28"/>
          <w:szCs w:val="28"/>
          <w:shd w:val="clear" w:color="auto" w:fill="FFFFFF"/>
        </w:rPr>
        <w:t>),</w:t>
      </w:r>
    </w:p>
    <w:p w14:paraId="310FC66E" w14:textId="77777777" w:rsidR="00AD2E6E" w:rsidRDefault="00AD2E6E" w:rsidP="0054206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83EAEC8" w:rsidR="00C3790D" w:rsidRPr="00542062" w:rsidRDefault="00542062" w:rsidP="00542062">
      <w:pPr>
        <w:widowControl w:val="0"/>
        <w:tabs>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noProof/>
          <w:sz w:val="28"/>
          <w:szCs w:val="28"/>
          <w:lang w:eastAsia="uk-UA"/>
        </w:rPr>
        <w:t>В</w:t>
      </w:r>
      <w:r w:rsidR="00C3790D" w:rsidRPr="00367C65">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C3790D" w:rsidRPr="00367C65">
        <w:rPr>
          <w:rFonts w:ascii="Times New Roman" w:hAnsi="Times New Roman"/>
          <w:b/>
          <w:noProof/>
          <w:sz w:val="28"/>
          <w:szCs w:val="28"/>
          <w:lang w:eastAsia="uk-UA"/>
        </w:rPr>
        <w:t>:</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6BC1B4E1" w:rsidR="00C3790D" w:rsidRPr="00367C65" w:rsidRDefault="0023154E" w:rsidP="0023154E">
      <w:pPr>
        <w:pStyle w:val="a3"/>
        <w:widowControl w:val="0"/>
        <w:tabs>
          <w:tab w:val="left" w:pos="567"/>
        </w:tabs>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 xml:space="preserve">До Кваліфікаційно-дисциплінарної комісії прокурорів (далі – Комісія) надійшла дисциплінарна скарга </w:t>
      </w:r>
      <w:r w:rsidR="00BC5CF6" w:rsidRPr="00BC5CF6">
        <w:rPr>
          <w:rFonts w:ascii="Times New Roman" w:hAnsi="Times New Roman"/>
          <w:sz w:val="28"/>
          <w:szCs w:val="28"/>
        </w:rPr>
        <w:t>керівника Донецької обласної прокуратури Угровецького П</w:t>
      </w:r>
      <w:r w:rsidR="00BC5CF6">
        <w:rPr>
          <w:rFonts w:ascii="Times New Roman" w:hAnsi="Times New Roman"/>
          <w:sz w:val="28"/>
          <w:szCs w:val="28"/>
        </w:rPr>
        <w:t>.</w:t>
      </w:r>
      <w:r w:rsidR="00BC5CF6" w:rsidRPr="00BC5CF6">
        <w:rPr>
          <w:rFonts w:ascii="Times New Roman" w:hAnsi="Times New Roman"/>
          <w:sz w:val="28"/>
          <w:szCs w:val="28"/>
        </w:rPr>
        <w:t>О</w:t>
      </w:r>
      <w:r w:rsidR="002728B7">
        <w:rPr>
          <w:rFonts w:ascii="Times New Roman" w:hAnsi="Times New Roman"/>
          <w:sz w:val="28"/>
          <w:szCs w:val="28"/>
        </w:rPr>
        <w:t>.</w:t>
      </w:r>
      <w:r w:rsidR="001C0248">
        <w:rPr>
          <w:rFonts w:ascii="Times New Roman" w:hAnsi="Times New Roman"/>
          <w:sz w:val="28"/>
          <w:szCs w:val="28"/>
        </w:rPr>
        <w:t xml:space="preserve"> </w:t>
      </w:r>
      <w:r w:rsidR="00C3790D"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00C3790D" w:rsidRPr="00367C65">
        <w:rPr>
          <w:rFonts w:ascii="Times New Roman" w:hAnsi="Times New Roman"/>
          <w:sz w:val="28"/>
          <w:szCs w:val="28"/>
        </w:rPr>
        <w:t xml:space="preserve">прокурором </w:t>
      </w:r>
      <w:r w:rsidR="00C271A3">
        <w:rPr>
          <w:rFonts w:ascii="Times New Roman" w:hAnsi="Times New Roman"/>
          <w:sz w:val="28"/>
          <w:szCs w:val="28"/>
        </w:rPr>
        <w:t>Даглі Є.К.</w:t>
      </w:r>
    </w:p>
    <w:p w14:paraId="0587AED2" w14:textId="70C84574" w:rsidR="001F15F9" w:rsidRDefault="001F15F9" w:rsidP="001F15F9">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Мнишенко Є.С. (протокол автоматичного розподілу від </w:t>
      </w:r>
      <w:r w:rsidR="002728B7">
        <w:rPr>
          <w:rFonts w:ascii="Times New Roman" w:hAnsi="Times New Roman"/>
          <w:sz w:val="28"/>
          <w:szCs w:val="28"/>
        </w:rPr>
        <w:t>15</w:t>
      </w:r>
      <w:r>
        <w:rPr>
          <w:rFonts w:ascii="Times New Roman" w:hAnsi="Times New Roman"/>
          <w:sz w:val="28"/>
          <w:szCs w:val="28"/>
        </w:rPr>
        <w:t xml:space="preserve"> </w:t>
      </w:r>
      <w:r w:rsidR="002728B7">
        <w:rPr>
          <w:rFonts w:ascii="Times New Roman" w:hAnsi="Times New Roman"/>
          <w:sz w:val="28"/>
          <w:szCs w:val="28"/>
        </w:rPr>
        <w:t>липня</w:t>
      </w:r>
      <w:r>
        <w:rPr>
          <w:rFonts w:ascii="Times New Roman" w:hAnsi="Times New Roman"/>
          <w:sz w:val="28"/>
          <w:szCs w:val="28"/>
        </w:rPr>
        <w:t xml:space="preserve"> 2025 року). </w:t>
      </w:r>
    </w:p>
    <w:p w14:paraId="414A65E3" w14:textId="77777777" w:rsidR="001F15F9" w:rsidRDefault="001F15F9" w:rsidP="001F15F9">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F981D07" w14:textId="77777777" w:rsidR="00542062" w:rsidRPr="00A91118" w:rsidRDefault="00542062" w:rsidP="0050083F">
      <w:pPr>
        <w:pStyle w:val="a3"/>
        <w:tabs>
          <w:tab w:val="left" w:pos="567"/>
        </w:tabs>
        <w:spacing w:before="120" w:after="120"/>
        <w:rPr>
          <w:rFonts w:ascii="Times New Roman" w:hAnsi="Times New Roman"/>
          <w:sz w:val="28"/>
          <w:szCs w:val="28"/>
        </w:rPr>
      </w:pPr>
      <w:r w:rsidRPr="00661D78">
        <w:rPr>
          <w:rFonts w:ascii="Times New Roman" w:hAnsi="Times New Roman"/>
          <w:b/>
          <w:sz w:val="28"/>
          <w:szCs w:val="28"/>
        </w:rPr>
        <w:t>Зміст скарги</w:t>
      </w:r>
    </w:p>
    <w:p w14:paraId="2021D470" w14:textId="7BE93B68" w:rsidR="000143B5" w:rsidRPr="000143B5" w:rsidRDefault="0023154E" w:rsidP="000143B5">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0143B5" w:rsidRPr="000143B5">
        <w:rPr>
          <w:rFonts w:ascii="Times New Roman" w:hAnsi="Times New Roman"/>
          <w:sz w:val="28"/>
          <w:szCs w:val="28"/>
        </w:rPr>
        <w:t xml:space="preserve">Автор скарги зазначив, що </w:t>
      </w:r>
      <w:r w:rsidR="00C271A3">
        <w:rPr>
          <w:rFonts w:ascii="Times New Roman" w:hAnsi="Times New Roman"/>
          <w:sz w:val="28"/>
          <w:szCs w:val="28"/>
        </w:rPr>
        <w:t>Даглі Є.К.</w:t>
      </w:r>
      <w:r w:rsidR="000143B5" w:rsidRPr="000143B5">
        <w:rPr>
          <w:rFonts w:ascii="Times New Roman" w:hAnsi="Times New Roman"/>
          <w:sz w:val="28"/>
          <w:szCs w:val="28"/>
        </w:rPr>
        <w:t xml:space="preserve"> </w:t>
      </w:r>
      <w:r w:rsidR="00E27449">
        <w:rPr>
          <w:rFonts w:ascii="Times New Roman" w:hAnsi="Times New Roman"/>
          <w:sz w:val="28"/>
          <w:szCs w:val="28"/>
        </w:rPr>
        <w:t>з 21.02.</w:t>
      </w:r>
      <w:r w:rsidR="00222416">
        <w:rPr>
          <w:rFonts w:ascii="Times New Roman" w:hAnsi="Times New Roman"/>
          <w:sz w:val="28"/>
          <w:szCs w:val="28"/>
        </w:rPr>
        <w:t xml:space="preserve">2005 </w:t>
      </w:r>
      <w:r w:rsidR="000143B5" w:rsidRPr="000143B5">
        <w:rPr>
          <w:rFonts w:ascii="Times New Roman" w:hAnsi="Times New Roman"/>
          <w:sz w:val="28"/>
          <w:szCs w:val="28"/>
        </w:rPr>
        <w:t xml:space="preserve">встановлено </w:t>
      </w:r>
      <w:r w:rsidR="000143B5">
        <w:rPr>
          <w:rFonts w:ascii="Times New Roman" w:hAnsi="Times New Roman"/>
          <w:sz w:val="28"/>
          <w:szCs w:val="28"/>
        </w:rPr>
        <w:t>другу</w:t>
      </w:r>
      <w:r w:rsidR="000143B5" w:rsidRPr="000143B5">
        <w:rPr>
          <w:rFonts w:ascii="Times New Roman" w:hAnsi="Times New Roman"/>
          <w:sz w:val="28"/>
          <w:szCs w:val="28"/>
        </w:rPr>
        <w:t xml:space="preserve"> групу інвалідності</w:t>
      </w:r>
      <w:r w:rsidR="000143B5">
        <w:rPr>
          <w:rFonts w:ascii="Times New Roman" w:hAnsi="Times New Roman"/>
          <w:sz w:val="28"/>
          <w:szCs w:val="28"/>
        </w:rPr>
        <w:t xml:space="preserve"> </w:t>
      </w:r>
      <w:r w:rsidR="000143B5" w:rsidRPr="000143B5">
        <w:rPr>
          <w:rFonts w:ascii="Times New Roman" w:hAnsi="Times New Roman"/>
          <w:sz w:val="28"/>
          <w:szCs w:val="28"/>
        </w:rPr>
        <w:t xml:space="preserve">з дитинства. </w:t>
      </w:r>
    </w:p>
    <w:p w14:paraId="4CDF9465" w14:textId="77E9C4EC" w:rsidR="000143B5" w:rsidRPr="000143B5" w:rsidRDefault="000143B5" w:rsidP="000143B5">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0143B5">
        <w:rPr>
          <w:rFonts w:ascii="Times New Roman" w:hAnsi="Times New Roman"/>
          <w:sz w:val="28"/>
          <w:szCs w:val="28"/>
        </w:rPr>
        <w:t xml:space="preserve">Після розголосу у засобах масової інформації щодо можливого незаконного встановлення інвалідностей прокурорам України </w:t>
      </w:r>
      <w:r w:rsidR="00C271A3">
        <w:rPr>
          <w:rFonts w:ascii="Times New Roman" w:hAnsi="Times New Roman"/>
          <w:sz w:val="28"/>
          <w:szCs w:val="28"/>
        </w:rPr>
        <w:t>Даглі Є.К.</w:t>
      </w:r>
      <w:r w:rsidRPr="000143B5">
        <w:rPr>
          <w:rFonts w:ascii="Times New Roman" w:hAnsi="Times New Roman"/>
          <w:sz w:val="28"/>
          <w:szCs w:val="28"/>
        </w:rPr>
        <w:t xml:space="preserve"> правоохоронними органами або медичними закладами не пропонувалось з’явитися для проведення переогляду до стаціонарного відділення ДУ «Український державний науково-дослідний інститут медико-соціальних проблем інвалідності МОЗ України». До теперішнього часу </w:t>
      </w:r>
      <w:r>
        <w:rPr>
          <w:rFonts w:ascii="Times New Roman" w:hAnsi="Times New Roman"/>
          <w:sz w:val="28"/>
          <w:szCs w:val="28"/>
        </w:rPr>
        <w:t xml:space="preserve">другу </w:t>
      </w:r>
      <w:r w:rsidRPr="000143B5">
        <w:rPr>
          <w:rFonts w:ascii="Times New Roman" w:hAnsi="Times New Roman"/>
          <w:sz w:val="28"/>
          <w:szCs w:val="28"/>
        </w:rPr>
        <w:t xml:space="preserve">групу інвалідності </w:t>
      </w:r>
      <w:r w:rsidR="00C271A3">
        <w:rPr>
          <w:rFonts w:ascii="Times New Roman" w:hAnsi="Times New Roman"/>
          <w:sz w:val="28"/>
          <w:szCs w:val="28"/>
        </w:rPr>
        <w:t>Даглі Є.К.</w:t>
      </w:r>
      <w:r w:rsidRPr="000143B5">
        <w:rPr>
          <w:rFonts w:ascii="Times New Roman" w:hAnsi="Times New Roman"/>
          <w:sz w:val="28"/>
          <w:szCs w:val="28"/>
        </w:rPr>
        <w:t xml:space="preserve"> не скасовано. </w:t>
      </w:r>
    </w:p>
    <w:p w14:paraId="384CBA03" w14:textId="37DE28FF" w:rsidR="000143B5" w:rsidRPr="000143B5" w:rsidRDefault="000143B5" w:rsidP="000143B5">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0143B5">
        <w:rPr>
          <w:rFonts w:ascii="Times New Roman" w:hAnsi="Times New Roman"/>
          <w:sz w:val="28"/>
          <w:szCs w:val="28"/>
        </w:rPr>
        <w:t xml:space="preserve">Водночас, на думку скаржника, при оформленні групи інвалідності </w:t>
      </w:r>
      <w:r w:rsidR="00E27449">
        <w:rPr>
          <w:rFonts w:ascii="Times New Roman" w:hAnsi="Times New Roman"/>
          <w:sz w:val="28"/>
          <w:szCs w:val="28"/>
        </w:rPr>
        <w:t>Даглі Є.К.</w:t>
      </w:r>
      <w:r w:rsidRPr="000143B5">
        <w:rPr>
          <w:rFonts w:ascii="Times New Roman" w:hAnsi="Times New Roman"/>
          <w:sz w:val="28"/>
          <w:szCs w:val="28"/>
        </w:rPr>
        <w:t xml:space="preserve"> дія</w:t>
      </w:r>
      <w:r w:rsidR="00E27449">
        <w:rPr>
          <w:rFonts w:ascii="Times New Roman" w:hAnsi="Times New Roman"/>
          <w:sz w:val="28"/>
          <w:szCs w:val="28"/>
        </w:rPr>
        <w:t>в</w:t>
      </w:r>
      <w:r w:rsidRPr="000143B5">
        <w:rPr>
          <w:rFonts w:ascii="Times New Roman" w:hAnsi="Times New Roman"/>
          <w:sz w:val="28"/>
          <w:szCs w:val="28"/>
        </w:rPr>
        <w:t xml:space="preserve"> в особистих інтересах, чим поруши</w:t>
      </w:r>
      <w:r w:rsidR="00E27449">
        <w:rPr>
          <w:rFonts w:ascii="Times New Roman" w:hAnsi="Times New Roman"/>
          <w:sz w:val="28"/>
          <w:szCs w:val="28"/>
        </w:rPr>
        <w:t>в</w:t>
      </w:r>
      <w:r w:rsidRPr="000143B5">
        <w:rPr>
          <w:rFonts w:ascii="Times New Roman" w:hAnsi="Times New Roman"/>
          <w:sz w:val="28"/>
          <w:szCs w:val="28"/>
        </w:rPr>
        <w:t xml:space="preserve"> вимоги Кодексу професійної етики та поведінки прокурорів (далі – Кодекс). </w:t>
      </w:r>
    </w:p>
    <w:p w14:paraId="35EE76C4" w14:textId="7E52E053" w:rsidR="00007190" w:rsidRPr="00782291" w:rsidRDefault="00D85DFE" w:rsidP="00D85DFE">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0143B5" w:rsidRPr="000143B5">
        <w:rPr>
          <w:rFonts w:ascii="Times New Roman" w:hAnsi="Times New Roman"/>
          <w:sz w:val="28"/>
          <w:szCs w:val="28"/>
        </w:rPr>
        <w:t xml:space="preserve">З огляду на викладене скаржник вважає, що в діях прокурора </w:t>
      </w:r>
      <w:r w:rsidR="00E27449">
        <w:rPr>
          <w:rFonts w:ascii="Times New Roman" w:hAnsi="Times New Roman"/>
          <w:sz w:val="28"/>
          <w:szCs w:val="28"/>
        </w:rPr>
        <w:t>Даглі Є.К.</w:t>
      </w:r>
      <w:r w:rsidR="000143B5" w:rsidRPr="000143B5">
        <w:rPr>
          <w:rFonts w:ascii="Times New Roman" w:hAnsi="Times New Roman"/>
          <w:sz w:val="28"/>
          <w:szCs w:val="28"/>
        </w:rPr>
        <w:t xml:space="preserve"> </w:t>
      </w:r>
      <w:r w:rsidR="000143B5" w:rsidRPr="000143B5">
        <w:rPr>
          <w:rFonts w:ascii="Times New Roman" w:hAnsi="Times New Roman"/>
          <w:sz w:val="28"/>
          <w:szCs w:val="28"/>
        </w:rPr>
        <w:lastRenderedPageBreak/>
        <w:t xml:space="preserve">вбачаються ознаки дисциплінарного проступку та просить притягнути </w:t>
      </w:r>
      <w:r w:rsidR="00E27449">
        <w:rPr>
          <w:rFonts w:ascii="Times New Roman" w:hAnsi="Times New Roman"/>
          <w:sz w:val="28"/>
          <w:szCs w:val="28"/>
        </w:rPr>
        <w:t>його</w:t>
      </w:r>
      <w:r w:rsidR="000143B5" w:rsidRPr="000143B5">
        <w:rPr>
          <w:rFonts w:ascii="Times New Roman" w:hAnsi="Times New Roman"/>
          <w:sz w:val="28"/>
          <w:szCs w:val="28"/>
        </w:rPr>
        <w:t xml:space="preserve"> до дисциплінарної відповідальності за одноразове грубе порушення правил прокурорської етики. </w:t>
      </w:r>
    </w:p>
    <w:p w14:paraId="082682C8"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561C8A96" w:rsidR="00C3790D" w:rsidRPr="00367C65" w:rsidRDefault="00C3790D" w:rsidP="0050083F">
      <w:pPr>
        <w:widowControl w:val="0"/>
        <w:tabs>
          <w:tab w:val="left" w:pos="851"/>
          <w:tab w:val="left" w:pos="993"/>
        </w:tabs>
        <w:spacing w:after="0" w:line="240" w:lineRule="auto"/>
        <w:contextualSpacing/>
        <w:jc w:val="both"/>
        <w:rPr>
          <w:rFonts w:ascii="Times New Roman" w:hAnsi="Times New Roman"/>
          <w:b/>
          <w:sz w:val="28"/>
          <w:szCs w:val="28"/>
        </w:rPr>
      </w:pP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46CA718" w14:textId="64E412E0" w:rsidR="00DC46B2" w:rsidRDefault="00FB1E57" w:rsidP="00D85DFE">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долучено копії: </w:t>
      </w:r>
      <w:r w:rsidR="00D85DFE" w:rsidRPr="00D85DFE">
        <w:rPr>
          <w:rFonts w:ascii="Times New Roman" w:hAnsi="Times New Roman"/>
          <w:sz w:val="28"/>
          <w:szCs w:val="28"/>
        </w:rPr>
        <w:t xml:space="preserve">наказу про призначення </w:t>
      </w:r>
      <w:r w:rsidR="00E27449">
        <w:rPr>
          <w:rFonts w:ascii="Times New Roman" w:hAnsi="Times New Roman"/>
          <w:sz w:val="28"/>
          <w:szCs w:val="28"/>
        </w:rPr>
        <w:t>Даглі Є.К.</w:t>
      </w:r>
      <w:r w:rsidR="00D85DFE" w:rsidRPr="00D85DFE">
        <w:rPr>
          <w:rFonts w:ascii="Times New Roman" w:hAnsi="Times New Roman"/>
          <w:sz w:val="28"/>
          <w:szCs w:val="28"/>
        </w:rPr>
        <w:t xml:space="preserve"> на посаду;</w:t>
      </w:r>
      <w:r w:rsidR="00D85DFE">
        <w:rPr>
          <w:rFonts w:ascii="Times New Roman" w:hAnsi="Times New Roman"/>
          <w:sz w:val="28"/>
          <w:szCs w:val="28"/>
        </w:rPr>
        <w:t xml:space="preserve"> </w:t>
      </w:r>
      <w:r w:rsidR="00D85DFE" w:rsidRPr="00D85DFE">
        <w:rPr>
          <w:rFonts w:ascii="Times New Roman" w:hAnsi="Times New Roman"/>
          <w:sz w:val="28"/>
          <w:szCs w:val="28"/>
        </w:rPr>
        <w:t>листа ознайомлення з Кодексом</w:t>
      </w:r>
      <w:r w:rsidR="009A0AB2" w:rsidRPr="009A0AB2">
        <w:t xml:space="preserve"> </w:t>
      </w:r>
      <w:r w:rsidR="009A0AB2" w:rsidRPr="009A0AB2">
        <w:rPr>
          <w:rFonts w:ascii="Times New Roman" w:hAnsi="Times New Roman"/>
          <w:sz w:val="28"/>
          <w:szCs w:val="28"/>
        </w:rPr>
        <w:t>професійної етики та поведінки прокурорів</w:t>
      </w:r>
      <w:r w:rsidR="00D85DFE" w:rsidRPr="00D85DFE">
        <w:rPr>
          <w:rFonts w:ascii="Times New Roman" w:hAnsi="Times New Roman"/>
          <w:sz w:val="28"/>
          <w:szCs w:val="28"/>
        </w:rPr>
        <w:t>;</w:t>
      </w:r>
      <w:r w:rsidR="00D85DFE">
        <w:rPr>
          <w:rFonts w:ascii="Times New Roman" w:hAnsi="Times New Roman"/>
          <w:sz w:val="28"/>
          <w:szCs w:val="28"/>
        </w:rPr>
        <w:t xml:space="preserve"> присяги працівника прокуратури; </w:t>
      </w:r>
      <w:r w:rsidR="00D85DFE" w:rsidRPr="00D85DFE">
        <w:rPr>
          <w:rFonts w:ascii="Times New Roman" w:hAnsi="Times New Roman"/>
          <w:sz w:val="28"/>
          <w:szCs w:val="28"/>
        </w:rPr>
        <w:t xml:space="preserve">біографічної довідки; </w:t>
      </w:r>
      <w:r w:rsidR="00D85DFE">
        <w:rPr>
          <w:rFonts w:ascii="Times New Roman" w:hAnsi="Times New Roman"/>
          <w:sz w:val="28"/>
          <w:szCs w:val="28"/>
        </w:rPr>
        <w:t>довідки МСЕК</w:t>
      </w:r>
      <w:r w:rsidR="00287C1B">
        <w:rPr>
          <w:rFonts w:ascii="Times New Roman" w:hAnsi="Times New Roman"/>
          <w:sz w:val="28"/>
          <w:szCs w:val="28"/>
        </w:rPr>
        <w:t>.</w:t>
      </w:r>
    </w:p>
    <w:p w14:paraId="6012D997" w14:textId="77777777" w:rsidR="00C232A2" w:rsidRPr="00367C65" w:rsidRDefault="00C232A2"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1FFD8039" w:rsidR="00C3790D" w:rsidRPr="0050083F" w:rsidRDefault="00C3790D" w:rsidP="0050083F">
      <w:pPr>
        <w:widowControl w:val="0"/>
        <w:tabs>
          <w:tab w:val="left" w:pos="851"/>
          <w:tab w:val="left" w:pos="993"/>
        </w:tabs>
        <w:spacing w:after="0" w:line="240" w:lineRule="auto"/>
        <w:jc w:val="both"/>
        <w:rPr>
          <w:rFonts w:ascii="Times New Roman" w:hAnsi="Times New Roman"/>
          <w:b/>
          <w:sz w:val="28"/>
          <w:szCs w:val="28"/>
        </w:rPr>
      </w:pPr>
      <w:r w:rsidRPr="0050083F">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3CC2B3A8"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4730016"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Статтею 131-1 Конституції України визначено, що в Україні діє прокуратура, яка поміж іншим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Організація та порядок діяльності прокуратури визначаються законом.</w:t>
      </w:r>
    </w:p>
    <w:p w14:paraId="1AD70D7B"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472CF815"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У відповідності до пунктів 3, 4 частини четвертої статті 19 Закону України «Про прокуратуру» прокурор зобов’язаний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233613A6"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професійно,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6C9C8EDC"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Відповідно до пунктів 1, 3 Керівних принципів, що стосуються державних обвинувачів, які прийняті восьмим конгресом Організації об’єднаних націй з попередження злочинності та поводженню з правопорушниками (Гавана, Куба, 27 серпня – 07 вересня 1990) особи, відібрані для здійснення судового переслідування, повинні мати високі моральні якості та здібності, а також відповідну підготовку та кваліфікацію.</w:t>
      </w:r>
    </w:p>
    <w:p w14:paraId="4D2179AB"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Особи, які здійснюють судове переслідування, будучи найважливішими </w:t>
      </w:r>
      <w:r w:rsidRPr="00F71E2E">
        <w:rPr>
          <w:rFonts w:ascii="Times New Roman" w:hAnsi="Times New Roman"/>
          <w:sz w:val="28"/>
          <w:szCs w:val="28"/>
        </w:rPr>
        <w:lastRenderedPageBreak/>
        <w:t>представниками системи відправлення кримінального правосуддя, завжди зберігають честь та гідність своєї професії.</w:t>
      </w:r>
    </w:p>
    <w:p w14:paraId="184576C1"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За рекомендаціями Консультативної Ради Європейських прокурорів, викладеними у пункті 22 висновку під назвою «Незалежність, підзвітність та етика прокурорів» від 23 листопада 2018 року № 13 (2018), поведінка прокурорів не може бути залишена на власний розсуд незалежно від того, чи це стосується робочого або вільного часу. Це особливо важливо при оцінці діяльності прокурорів і в дисциплінарних провадженнях проти них.  </w:t>
      </w:r>
    </w:p>
    <w:p w14:paraId="3BE99797"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Статтею 11 Кодексу професійної етики та поведінки прокурорів (далі – Кодекс) передбачено, що прокурор повинен постійно дбати про свою компетентність, професійну честь і гідність. </w:t>
      </w:r>
    </w:p>
    <w:p w14:paraId="0B694EA8"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За правилами статті 16 Кодексу, 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p>
    <w:p w14:paraId="61FB2B7E"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Водночас стаття 21 Кодексу вимагає від прокурора діяти 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7BC05DE8"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Коментар до Кодексу, затверджений Рішенням Ради прокурорів України від 23 листопада 2022 року № 36 (далі – Коментар), чітко окреслює вимоги   статті 21, зокрема те, що, зважаючи на завдання і функції, які покладені на прокуратуру, посада прокурора зобов’язує особу, яка її обіймає, до правомірної поведінки не лише при здійсненні своїх повноважень, але й поза тим. </w:t>
      </w:r>
    </w:p>
    <w:p w14:paraId="1DDF8505"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Згідно з правилами прокурорської етики прокурор повинен не допускати дій, висловлювань і поведінки, які можуть зашкодити його репутації та авторитету прокуратури, викликати негативний суспільний резонанс. </w:t>
      </w:r>
    </w:p>
    <w:p w14:paraId="22FECE7C"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Етичні норми поширюються і на службову сферу, і на приватне життя прокурора, включають у себе як правила професійної діяльності в усіх аспектах, так і вимоги спеціального й загального законодавства і моральні засади суспільного життя. </w:t>
      </w:r>
    </w:p>
    <w:p w14:paraId="24443155"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Зазначені норми формують стандарт поведінки, яка має бути взірцем законності, справедливості, дисципліни, людяності, порядності, ввічливості, сприяти довірі й повазі суспільства до органів прокуратури і представників цієї професії. </w:t>
      </w:r>
    </w:p>
    <w:p w14:paraId="67254BE3"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Стаття 33 Кодексу, зобов’язує прокурорів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1CDD44A5"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ab/>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F9F271C"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Частиною першою статті 43 Закону України «Про прокуратуру» визначено, що прокурора може бути притягнуто до дисциплінарної </w:t>
      </w:r>
      <w:r w:rsidRPr="00F71E2E">
        <w:rPr>
          <w:rFonts w:ascii="Times New Roman" w:hAnsi="Times New Roman"/>
          <w:sz w:val="28"/>
          <w:szCs w:val="28"/>
        </w:rPr>
        <w:lastRenderedPageBreak/>
        <w:t>відповідальності у порядку дисциплінарного провадження з таких підстав:</w:t>
      </w:r>
    </w:p>
    <w:p w14:paraId="47AC4DB7"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1) невиконання чи неналежне виконання службових обов’язків;</w:t>
      </w:r>
    </w:p>
    <w:p w14:paraId="382E38BA"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2) необґрунтоване зволікання з розглядом звернення;</w:t>
      </w:r>
    </w:p>
    <w:p w14:paraId="604309D7"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6DD67E2"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76E6F65B"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585F62D"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F41CC3A"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7) порушення правил внутрішнього службового розпорядку;</w:t>
      </w:r>
    </w:p>
    <w:p w14:paraId="2A44A989"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728A5CB"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9) публічне висловлювання, яке є порушенням презумпції невинуватості.</w:t>
      </w:r>
    </w:p>
    <w:p w14:paraId="5D6D18FD"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D647D40"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325C3D6"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2) дисциплінарна скарга є анонімною;</w:t>
      </w:r>
    </w:p>
    <w:p w14:paraId="6AD6BC6F"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3) дисциплінарна скарга подана з підстав, не визначених статтею 43 цього Закону;</w:t>
      </w:r>
    </w:p>
    <w:p w14:paraId="4B07EA68"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09B869D5"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02C0BFE3"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78E2116"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14:paraId="6298169E"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w:t>
      </w:r>
      <w:r w:rsidRPr="00F71E2E">
        <w:rPr>
          <w:rFonts w:ascii="Times New Roman" w:hAnsi="Times New Roman"/>
          <w:sz w:val="28"/>
          <w:szCs w:val="28"/>
        </w:rPr>
        <w:lastRenderedPageBreak/>
        <w:t>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FA8A321"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BC5D7C1" w14:textId="74C53D37" w:rsidR="00AB3561"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D6E8A37" w14:textId="77777777" w:rsidR="00AB3561" w:rsidRDefault="00AB3561" w:rsidP="00AB3561">
      <w:pPr>
        <w:widowControl w:val="0"/>
        <w:pBdr>
          <w:bottom w:val="single" w:sz="12" w:space="12" w:color="FFFFFF"/>
        </w:pBdr>
        <w:spacing w:after="0" w:line="240" w:lineRule="auto"/>
        <w:ind w:firstLine="708"/>
        <w:jc w:val="both"/>
        <w:rPr>
          <w:rFonts w:ascii="Times New Roman" w:hAnsi="Times New Roman"/>
          <w:sz w:val="28"/>
          <w:szCs w:val="28"/>
        </w:rPr>
      </w:pPr>
    </w:p>
    <w:p w14:paraId="4691A0E7" w14:textId="7C23DB7F" w:rsidR="00C232A2" w:rsidRPr="00367C65" w:rsidRDefault="00C3790D" w:rsidP="00AB3561">
      <w:pPr>
        <w:widowControl w:val="0"/>
        <w:pBdr>
          <w:bottom w:val="single" w:sz="12" w:space="12" w:color="FFFFFF"/>
        </w:pBdr>
        <w:spacing w:after="0" w:line="240" w:lineRule="auto"/>
        <w:ind w:firstLine="708"/>
        <w:jc w:val="both"/>
        <w:rPr>
          <w:b/>
          <w:sz w:val="28"/>
          <w:szCs w:val="28"/>
        </w:rPr>
      </w:pPr>
      <w:r w:rsidRPr="00AB3561">
        <w:rPr>
          <w:rFonts w:ascii="Times New Roman" w:hAnsi="Times New Roman"/>
          <w:b/>
          <w:sz w:val="28"/>
          <w:szCs w:val="28"/>
        </w:rPr>
        <w:t>Оцінка встановлених обставин та мотиви прийнятого рішення</w:t>
      </w:r>
    </w:p>
    <w:p w14:paraId="0DB6CB12" w14:textId="62804F01" w:rsidR="00F71E2E" w:rsidRPr="00F71E2E" w:rsidRDefault="00F71E2E" w:rsidP="00F71E2E">
      <w:pPr>
        <w:widowControl w:val="0"/>
        <w:tabs>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Дисциплінарна скарга керівника Донецької обласної прокуратури Угровецького П.О. стосується можливого одноразового грубого порушення правил прокурорської етики прокурором </w:t>
      </w:r>
      <w:r w:rsidR="00222416">
        <w:rPr>
          <w:rFonts w:ascii="Times New Roman" w:hAnsi="Times New Roman"/>
          <w:sz w:val="28"/>
          <w:szCs w:val="28"/>
        </w:rPr>
        <w:t>Даглі Є.К.</w:t>
      </w:r>
      <w:r w:rsidRPr="00F71E2E">
        <w:rPr>
          <w:rFonts w:ascii="Times New Roman" w:hAnsi="Times New Roman"/>
          <w:sz w:val="28"/>
          <w:szCs w:val="28"/>
        </w:rPr>
        <w:t xml:space="preserve"> під час оформлення н</w:t>
      </w:r>
      <w:r w:rsidR="00222416">
        <w:rPr>
          <w:rFonts w:ascii="Times New Roman" w:hAnsi="Times New Roman"/>
          <w:sz w:val="28"/>
          <w:szCs w:val="28"/>
        </w:rPr>
        <w:t>им</w:t>
      </w:r>
      <w:r w:rsidRPr="00F71E2E">
        <w:rPr>
          <w:rFonts w:ascii="Times New Roman" w:hAnsi="Times New Roman"/>
          <w:sz w:val="28"/>
          <w:szCs w:val="28"/>
        </w:rPr>
        <w:t xml:space="preserve"> групи інвалідності. </w:t>
      </w:r>
    </w:p>
    <w:p w14:paraId="3899308E" w14:textId="77777777" w:rsidR="00F71E2E" w:rsidRPr="00F71E2E" w:rsidRDefault="00F71E2E" w:rsidP="00F71E2E">
      <w:pPr>
        <w:widowControl w:val="0"/>
        <w:tabs>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Встановлення того, чи мало місце порушення прокурором етичних правил та чи завдало воно шкоди авторитету прокуратури через поведінку прокурора, є оціночним і мають враховуватись конкретні ситуації та суспільний резонанс.</w:t>
      </w:r>
    </w:p>
    <w:p w14:paraId="67E88835" w14:textId="3790E344" w:rsidR="00F71E2E" w:rsidRPr="00F71E2E" w:rsidRDefault="00F71E2E" w:rsidP="00F71E2E">
      <w:pPr>
        <w:widowControl w:val="0"/>
        <w:tabs>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Так, на підтвердження дій, які, на думку скаржника, можуть вказувати на неетичну поведінку прокурора </w:t>
      </w:r>
      <w:r w:rsidR="00222416">
        <w:rPr>
          <w:rFonts w:ascii="Times New Roman" w:hAnsi="Times New Roman"/>
          <w:sz w:val="28"/>
          <w:szCs w:val="28"/>
        </w:rPr>
        <w:t>Даглі Є.К.</w:t>
      </w:r>
      <w:r w:rsidRPr="00F71E2E">
        <w:rPr>
          <w:rFonts w:ascii="Times New Roman" w:hAnsi="Times New Roman"/>
          <w:sz w:val="28"/>
          <w:szCs w:val="28"/>
        </w:rPr>
        <w:t xml:space="preserve"> до дисциплінарної скарги не долучено жодних доказів.</w:t>
      </w:r>
    </w:p>
    <w:p w14:paraId="5EBE442D" w14:textId="77777777" w:rsidR="00F71E2E" w:rsidRPr="00F71E2E" w:rsidRDefault="00F71E2E" w:rsidP="00F71E2E">
      <w:pPr>
        <w:widowControl w:val="0"/>
        <w:tabs>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Слід вказати, що Комісія або її член не приймає рішень на підставі припущень, неперевіреної чи недостовірної інформації.</w:t>
      </w:r>
    </w:p>
    <w:p w14:paraId="7281B1C9" w14:textId="2282EDC7" w:rsidR="00F71E2E" w:rsidRPr="00F71E2E" w:rsidRDefault="00F71E2E" w:rsidP="00F71E2E">
      <w:pPr>
        <w:widowControl w:val="0"/>
        <w:tabs>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Окрім цього, керівником Донецької обласної прокуратури Угровецьким</w:t>
      </w:r>
      <w:r>
        <w:rPr>
          <w:rFonts w:ascii="Times New Roman" w:hAnsi="Times New Roman"/>
          <w:sz w:val="28"/>
          <w:szCs w:val="28"/>
        </w:rPr>
        <w:t> </w:t>
      </w:r>
      <w:r w:rsidRPr="00F71E2E">
        <w:rPr>
          <w:rFonts w:ascii="Times New Roman" w:hAnsi="Times New Roman"/>
          <w:sz w:val="28"/>
          <w:szCs w:val="28"/>
        </w:rPr>
        <w:t>П.О. 15 липня 2025 року за № 07-96</w:t>
      </w:r>
      <w:r w:rsidR="00222416">
        <w:rPr>
          <w:rFonts w:ascii="Times New Roman" w:hAnsi="Times New Roman"/>
          <w:sz w:val="28"/>
          <w:szCs w:val="28"/>
        </w:rPr>
        <w:t>5</w:t>
      </w:r>
      <w:r w:rsidRPr="00F71E2E">
        <w:rPr>
          <w:rFonts w:ascii="Times New Roman" w:hAnsi="Times New Roman"/>
          <w:sz w:val="28"/>
          <w:szCs w:val="28"/>
        </w:rPr>
        <w:t xml:space="preserve">вих-25 направлено листа в якому він просить залишити його дисциплінарну скаргу без розгляду, у зв’язку з тим, що </w:t>
      </w:r>
      <w:r w:rsidR="00201924">
        <w:rPr>
          <w:rFonts w:ascii="Times New Roman" w:hAnsi="Times New Roman"/>
          <w:sz w:val="28"/>
          <w:szCs w:val="28"/>
        </w:rPr>
        <w:t xml:space="preserve">з </w:t>
      </w:r>
      <w:r w:rsidRPr="00F71E2E">
        <w:rPr>
          <w:rFonts w:ascii="Times New Roman" w:hAnsi="Times New Roman"/>
          <w:sz w:val="28"/>
          <w:szCs w:val="28"/>
        </w:rPr>
        <w:t>2</w:t>
      </w:r>
      <w:r w:rsidR="00222416">
        <w:rPr>
          <w:rFonts w:ascii="Times New Roman" w:hAnsi="Times New Roman"/>
          <w:sz w:val="28"/>
          <w:szCs w:val="28"/>
        </w:rPr>
        <w:t>6</w:t>
      </w:r>
      <w:r w:rsidRPr="00F71E2E">
        <w:rPr>
          <w:rFonts w:ascii="Times New Roman" w:hAnsi="Times New Roman"/>
          <w:sz w:val="28"/>
          <w:szCs w:val="28"/>
        </w:rPr>
        <w:t xml:space="preserve"> </w:t>
      </w:r>
      <w:r w:rsidR="00222416">
        <w:rPr>
          <w:rFonts w:ascii="Times New Roman" w:hAnsi="Times New Roman"/>
          <w:sz w:val="28"/>
          <w:szCs w:val="28"/>
        </w:rPr>
        <w:t>лютого</w:t>
      </w:r>
      <w:r w:rsidRPr="00F71E2E">
        <w:rPr>
          <w:rFonts w:ascii="Times New Roman" w:hAnsi="Times New Roman"/>
          <w:sz w:val="28"/>
          <w:szCs w:val="28"/>
        </w:rPr>
        <w:t xml:space="preserve"> </w:t>
      </w:r>
      <w:r>
        <w:rPr>
          <w:rFonts w:ascii="Times New Roman" w:hAnsi="Times New Roman"/>
          <w:sz w:val="28"/>
          <w:szCs w:val="28"/>
        </w:rPr>
        <w:t>20</w:t>
      </w:r>
      <w:r w:rsidR="00222416">
        <w:rPr>
          <w:rFonts w:ascii="Times New Roman" w:hAnsi="Times New Roman"/>
          <w:sz w:val="28"/>
          <w:szCs w:val="28"/>
        </w:rPr>
        <w:t>20</w:t>
      </w:r>
      <w:r w:rsidRPr="00F71E2E">
        <w:rPr>
          <w:rFonts w:ascii="Times New Roman" w:hAnsi="Times New Roman"/>
          <w:sz w:val="28"/>
          <w:szCs w:val="28"/>
        </w:rPr>
        <w:t xml:space="preserve"> року </w:t>
      </w:r>
      <w:r w:rsidR="00222416">
        <w:rPr>
          <w:rFonts w:ascii="Times New Roman" w:hAnsi="Times New Roman"/>
          <w:sz w:val="28"/>
          <w:szCs w:val="28"/>
        </w:rPr>
        <w:t>Даглі Є.К.</w:t>
      </w:r>
      <w:r w:rsidR="00201924">
        <w:rPr>
          <w:rFonts w:ascii="Times New Roman" w:hAnsi="Times New Roman"/>
          <w:sz w:val="28"/>
          <w:szCs w:val="28"/>
        </w:rPr>
        <w:t xml:space="preserve"> </w:t>
      </w:r>
      <w:r w:rsidRPr="00F71E2E">
        <w:rPr>
          <w:rFonts w:ascii="Times New Roman" w:hAnsi="Times New Roman"/>
          <w:sz w:val="28"/>
          <w:szCs w:val="28"/>
        </w:rPr>
        <w:t xml:space="preserve">встановлено </w:t>
      </w:r>
      <w:r w:rsidR="00201924">
        <w:rPr>
          <w:rFonts w:ascii="Times New Roman" w:hAnsi="Times New Roman"/>
          <w:sz w:val="28"/>
          <w:szCs w:val="28"/>
        </w:rPr>
        <w:t>другу</w:t>
      </w:r>
      <w:r w:rsidRPr="00F71E2E">
        <w:rPr>
          <w:rFonts w:ascii="Times New Roman" w:hAnsi="Times New Roman"/>
          <w:sz w:val="28"/>
          <w:szCs w:val="28"/>
        </w:rPr>
        <w:t xml:space="preserve"> групу інвалідності з дитинства.</w:t>
      </w:r>
    </w:p>
    <w:p w14:paraId="67E7AEF7" w14:textId="492E3196" w:rsidR="00113C52" w:rsidRDefault="00222416" w:rsidP="00222416">
      <w:pPr>
        <w:widowControl w:val="0"/>
        <w:tabs>
          <w:tab w:val="left" w:pos="993"/>
        </w:tabs>
        <w:spacing w:after="0" w:line="240" w:lineRule="auto"/>
        <w:ind w:firstLine="709"/>
        <w:contextualSpacing/>
        <w:jc w:val="both"/>
        <w:rPr>
          <w:rFonts w:ascii="Times New Roman" w:hAnsi="Times New Roman"/>
          <w:sz w:val="28"/>
          <w:szCs w:val="28"/>
        </w:rPr>
      </w:pPr>
      <w:r w:rsidRPr="00222416">
        <w:rPr>
          <w:rFonts w:ascii="Times New Roman" w:hAnsi="Times New Roman"/>
          <w:sz w:val="28"/>
          <w:szCs w:val="28"/>
        </w:rPr>
        <w:t>Також керівником Донецької обласної прокуратури Угровецьким П.О. 16 липня 2025 року за № 07-</w:t>
      </w:r>
      <w:r w:rsidR="00880C39">
        <w:rPr>
          <w:rFonts w:ascii="Times New Roman" w:hAnsi="Times New Roman"/>
          <w:sz w:val="28"/>
          <w:szCs w:val="28"/>
        </w:rPr>
        <w:t>971</w:t>
      </w:r>
      <w:r w:rsidRPr="00222416">
        <w:rPr>
          <w:rFonts w:ascii="Times New Roman" w:hAnsi="Times New Roman"/>
          <w:sz w:val="28"/>
          <w:szCs w:val="28"/>
        </w:rPr>
        <w:t xml:space="preserve">вих-25 направлено листа в якому він просить повернути його дисциплінарну скаргу стосовно прокурора </w:t>
      </w:r>
      <w:r w:rsidR="00113C52">
        <w:rPr>
          <w:rFonts w:ascii="Times New Roman" w:hAnsi="Times New Roman"/>
          <w:sz w:val="28"/>
          <w:szCs w:val="28"/>
        </w:rPr>
        <w:t>Даглі Є.К.</w:t>
      </w:r>
      <w:r w:rsidRPr="00222416">
        <w:rPr>
          <w:rFonts w:ascii="Times New Roman" w:hAnsi="Times New Roman"/>
          <w:sz w:val="28"/>
          <w:szCs w:val="28"/>
        </w:rPr>
        <w:t xml:space="preserve"> на доопрацювання. </w:t>
      </w:r>
    </w:p>
    <w:p w14:paraId="0E5A78F8" w14:textId="02649653" w:rsidR="00F71E2E" w:rsidRPr="00F71E2E" w:rsidRDefault="00F71E2E" w:rsidP="00222416">
      <w:pPr>
        <w:widowControl w:val="0"/>
        <w:tabs>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Відповідно до пункту 7 Положення про порядок роботи відповідного органу, що здійснює дисциплінарне провадження, прийнятого всеукраїнською </w:t>
      </w:r>
      <w:r w:rsidRPr="00F71E2E">
        <w:rPr>
          <w:rFonts w:ascii="Times New Roman" w:hAnsi="Times New Roman"/>
          <w:sz w:val="28"/>
          <w:szCs w:val="28"/>
        </w:rPr>
        <w:lastRenderedPageBreak/>
        <w:t>конференцією прокурорів 27 квітня 2017 року (далі – Положення), основними засадами діяльності органу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w:t>
      </w:r>
    </w:p>
    <w:p w14:paraId="3FDF88AD" w14:textId="20A72F02" w:rsidR="00F71E2E" w:rsidRPr="00F71E2E" w:rsidRDefault="009A0AB2" w:rsidP="009A0AB2">
      <w:pPr>
        <w:widowControl w:val="0"/>
        <w:tabs>
          <w:tab w:val="left" w:pos="567"/>
        </w:tabs>
        <w:spacing w:after="0" w:line="240" w:lineRule="auto"/>
        <w:contextualSpacing/>
        <w:jc w:val="both"/>
        <w:rPr>
          <w:rFonts w:ascii="Times New Roman" w:hAnsi="Times New Roman"/>
          <w:sz w:val="28"/>
          <w:szCs w:val="28"/>
        </w:rPr>
      </w:pPr>
      <w:r>
        <w:rPr>
          <w:rFonts w:ascii="Times New Roman" w:hAnsi="Times New Roman"/>
          <w:sz w:val="28"/>
          <w:szCs w:val="28"/>
        </w:rPr>
        <w:tab/>
      </w:r>
      <w:r w:rsidR="00F71E2E" w:rsidRPr="00F71E2E">
        <w:rPr>
          <w:rFonts w:ascii="Times New Roman" w:hAnsi="Times New Roman"/>
          <w:sz w:val="28"/>
          <w:szCs w:val="28"/>
        </w:rPr>
        <w:t>Згідно з пунктом 111 Положення розгляд висновку про наявність чи відсутність дисциплінарного проступку прокурора відбувається на засадах змагальності.</w:t>
      </w:r>
    </w:p>
    <w:p w14:paraId="7D8B32BB" w14:textId="77777777" w:rsidR="00F71E2E" w:rsidRPr="00F71E2E" w:rsidRDefault="00F71E2E" w:rsidP="009A0AB2">
      <w:pPr>
        <w:widowControl w:val="0"/>
        <w:spacing w:after="0" w:line="240" w:lineRule="auto"/>
        <w:ind w:firstLine="567"/>
        <w:contextualSpacing/>
        <w:jc w:val="both"/>
        <w:rPr>
          <w:rFonts w:ascii="Times New Roman" w:hAnsi="Times New Roman"/>
          <w:sz w:val="28"/>
          <w:szCs w:val="28"/>
        </w:rPr>
      </w:pPr>
      <w:r w:rsidRPr="00F71E2E">
        <w:rPr>
          <w:rFonts w:ascii="Times New Roman" w:hAnsi="Times New Roman"/>
          <w:sz w:val="28"/>
          <w:szCs w:val="28"/>
        </w:rPr>
        <w:t>Відповідно до пункту 103 Положення відкликання або відмова від дисциплінарної скарги не може бути підставою для закриття дисциплінарного провадження. Відповідне звернення долучається до матеріалів дисциплінарного провадження та підлягає оцінці разом з іншими матеріалами.</w:t>
      </w:r>
    </w:p>
    <w:p w14:paraId="602620A0" w14:textId="3276DB92" w:rsidR="00F71E2E" w:rsidRPr="00F71E2E" w:rsidRDefault="00F71E2E" w:rsidP="009A0AB2">
      <w:pPr>
        <w:widowControl w:val="0"/>
        <w:tabs>
          <w:tab w:val="left" w:pos="567"/>
        </w:tabs>
        <w:spacing w:after="0" w:line="240" w:lineRule="auto"/>
        <w:ind w:firstLine="567"/>
        <w:contextualSpacing/>
        <w:jc w:val="both"/>
        <w:rPr>
          <w:rFonts w:ascii="Times New Roman" w:hAnsi="Times New Roman"/>
          <w:sz w:val="28"/>
          <w:szCs w:val="28"/>
        </w:rPr>
      </w:pPr>
      <w:r w:rsidRPr="00F71E2E">
        <w:rPr>
          <w:rFonts w:ascii="Times New Roman" w:hAnsi="Times New Roman"/>
          <w:sz w:val="28"/>
          <w:szCs w:val="28"/>
        </w:rPr>
        <w:t xml:space="preserve">Ураховуючи, що станом на теперішній час дисциплінарне провадження стосовно прокурора </w:t>
      </w:r>
      <w:r w:rsidR="00113C52">
        <w:rPr>
          <w:rFonts w:ascii="Times New Roman" w:hAnsi="Times New Roman"/>
          <w:sz w:val="28"/>
          <w:szCs w:val="28"/>
        </w:rPr>
        <w:t>Даглі Є.К.</w:t>
      </w:r>
      <w:r w:rsidRPr="00F71E2E">
        <w:rPr>
          <w:rFonts w:ascii="Times New Roman" w:hAnsi="Times New Roman"/>
          <w:sz w:val="28"/>
          <w:szCs w:val="28"/>
        </w:rPr>
        <w:t xml:space="preserve"> не відкрито, а скаржником направлено лист</w:t>
      </w:r>
      <w:r w:rsidR="00113C52">
        <w:rPr>
          <w:rFonts w:ascii="Times New Roman" w:hAnsi="Times New Roman"/>
          <w:sz w:val="28"/>
          <w:szCs w:val="28"/>
        </w:rPr>
        <w:t>и</w:t>
      </w:r>
      <w:r w:rsidRPr="00F71E2E">
        <w:rPr>
          <w:rFonts w:ascii="Times New Roman" w:hAnsi="Times New Roman"/>
          <w:sz w:val="28"/>
          <w:szCs w:val="28"/>
        </w:rPr>
        <w:t>, в як</w:t>
      </w:r>
      <w:r w:rsidR="00113C52">
        <w:rPr>
          <w:rFonts w:ascii="Times New Roman" w:hAnsi="Times New Roman"/>
          <w:sz w:val="28"/>
          <w:szCs w:val="28"/>
        </w:rPr>
        <w:t>их</w:t>
      </w:r>
      <w:r w:rsidRPr="00F71E2E">
        <w:rPr>
          <w:rFonts w:ascii="Times New Roman" w:hAnsi="Times New Roman"/>
          <w:sz w:val="28"/>
          <w:szCs w:val="28"/>
        </w:rPr>
        <w:t xml:space="preserve"> фактично йде мова про відмову від підтримання дисциплінарної скарги у зв’язку з відсутністю у ній конкретних відомостей про вчинення прокурором дисциплінарного проступку, вважаю, що з огляду на наведені обставини дисциплінарна скарга та додатки до неї наразі не містять достатніх відомостей про допущення прокурором </w:t>
      </w:r>
      <w:r w:rsidR="00113C52">
        <w:rPr>
          <w:rFonts w:ascii="Times New Roman" w:hAnsi="Times New Roman"/>
          <w:sz w:val="28"/>
          <w:szCs w:val="28"/>
        </w:rPr>
        <w:t>Даглі Є.К.</w:t>
      </w:r>
      <w:r w:rsidRPr="00F71E2E">
        <w:rPr>
          <w:rFonts w:ascii="Times New Roman" w:hAnsi="Times New Roman"/>
          <w:sz w:val="28"/>
          <w:szCs w:val="28"/>
        </w:rPr>
        <w:t xml:space="preserve"> дій, які можуть бути розцінені, як порушення правил професійної етики.</w:t>
      </w:r>
    </w:p>
    <w:p w14:paraId="31BE7B29" w14:textId="2CE88D8A" w:rsidR="00F71E2E" w:rsidRPr="00F71E2E" w:rsidRDefault="00201924" w:rsidP="009A0AB2">
      <w:pPr>
        <w:widowControl w:val="0"/>
        <w:tabs>
          <w:tab w:val="left" w:pos="567"/>
        </w:tabs>
        <w:spacing w:after="0" w:line="240" w:lineRule="auto"/>
        <w:contextualSpacing/>
        <w:jc w:val="both"/>
        <w:rPr>
          <w:rFonts w:ascii="Times New Roman" w:hAnsi="Times New Roman"/>
          <w:sz w:val="28"/>
          <w:szCs w:val="28"/>
        </w:rPr>
      </w:pPr>
      <w:r>
        <w:rPr>
          <w:rFonts w:ascii="Times New Roman" w:hAnsi="Times New Roman"/>
          <w:sz w:val="28"/>
          <w:szCs w:val="28"/>
        </w:rPr>
        <w:tab/>
      </w:r>
      <w:r w:rsidR="00F71E2E" w:rsidRPr="00F71E2E">
        <w:rPr>
          <w:rFonts w:ascii="Times New Roman" w:hAnsi="Times New Roman"/>
          <w:sz w:val="28"/>
          <w:szCs w:val="28"/>
        </w:rPr>
        <w:t xml:space="preserve">За таких обставин, якщо скаржником надалі буде встановлено та отримано конкретні докази можливого вчинення прокурором </w:t>
      </w:r>
      <w:r w:rsidR="00113C52">
        <w:rPr>
          <w:rFonts w:ascii="Times New Roman" w:hAnsi="Times New Roman"/>
          <w:sz w:val="28"/>
          <w:szCs w:val="28"/>
        </w:rPr>
        <w:t>Даглі Є.К.</w:t>
      </w:r>
      <w:r w:rsidR="00F71E2E" w:rsidRPr="00F71E2E">
        <w:rPr>
          <w:rFonts w:ascii="Times New Roman" w:hAnsi="Times New Roman"/>
          <w:sz w:val="28"/>
          <w:szCs w:val="28"/>
        </w:rPr>
        <w:t xml:space="preserve"> дисциплінарного проступку, він не позбавлений права повторно подати дисциплінарну скаргу з долученням відповідних матеріалів після їх доопрацювання.</w:t>
      </w:r>
    </w:p>
    <w:p w14:paraId="25B83AC2" w14:textId="7E07CB54" w:rsidR="008200EC" w:rsidRDefault="008200EC" w:rsidP="008200EC">
      <w:pPr>
        <w:widowControl w:val="0"/>
        <w:pBdr>
          <w:bottom w:val="single" w:sz="12" w:space="12" w:color="FFFFFF"/>
        </w:pBdr>
        <w:spacing w:after="0" w:line="240" w:lineRule="auto"/>
        <w:ind w:firstLine="567"/>
        <w:jc w:val="both"/>
        <w:rPr>
          <w:rStyle w:val="a7"/>
          <w:i w:val="0"/>
          <w:shd w:val="clear" w:color="auto" w:fill="FFFFFF"/>
        </w:rPr>
      </w:pPr>
      <w:r>
        <w:rPr>
          <w:rFonts w:ascii="Times New Roman" w:hAnsi="Times New Roman"/>
          <w:sz w:val="28"/>
          <w:szCs w:val="28"/>
        </w:rPr>
        <w:t xml:space="preserve">На підставі викладеного, як член Комісії, дійшла висновку, що </w:t>
      </w:r>
      <w:r w:rsidR="00201924" w:rsidRPr="00201924">
        <w:rPr>
          <w:rFonts w:ascii="Times New Roman" w:hAnsi="Times New Roman"/>
          <w:sz w:val="28"/>
          <w:szCs w:val="28"/>
        </w:rPr>
        <w:t xml:space="preserve">дисциплінарна скарга наразі не містить конкретних відомостей про наявність ознак дисциплінарного проступку, вчиненого прокурором </w:t>
      </w:r>
      <w:r w:rsidR="00113C52">
        <w:rPr>
          <w:rFonts w:ascii="Times New Roman" w:hAnsi="Times New Roman"/>
          <w:sz w:val="28"/>
          <w:szCs w:val="28"/>
        </w:rPr>
        <w:t>Даглі Є.К.</w:t>
      </w:r>
    </w:p>
    <w:p w14:paraId="27B2F9F9" w14:textId="77777777" w:rsidR="008200EC" w:rsidRDefault="008200EC" w:rsidP="009A0AB2">
      <w:pPr>
        <w:widowControl w:val="0"/>
        <w:pBdr>
          <w:bottom w:val="single" w:sz="12" w:space="12" w:color="FFFFFF"/>
        </w:pBdr>
        <w:spacing w:after="0" w:line="240" w:lineRule="auto"/>
        <w:ind w:firstLine="567"/>
        <w:jc w:val="both"/>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182C829A" w14:textId="77777777" w:rsidR="008200EC" w:rsidRDefault="008200EC" w:rsidP="008200EC">
      <w:pPr>
        <w:widowControl w:val="0"/>
        <w:pBdr>
          <w:bottom w:val="single" w:sz="12" w:space="12" w:color="FFFFFF"/>
        </w:pBdr>
        <w:spacing w:after="0" w:line="240" w:lineRule="auto"/>
        <w:jc w:val="center"/>
        <w:rPr>
          <w:rFonts w:ascii="Times New Roman" w:hAnsi="Times New Roman"/>
          <w:b/>
          <w:sz w:val="28"/>
          <w:szCs w:val="28"/>
        </w:rPr>
      </w:pPr>
    </w:p>
    <w:p w14:paraId="7E9B09CF" w14:textId="77777777" w:rsidR="008200EC" w:rsidRDefault="008200EC" w:rsidP="008200EC">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ВИРІШИЛА:</w:t>
      </w:r>
    </w:p>
    <w:p w14:paraId="1CD44F6D" w14:textId="0CA40B07" w:rsidR="008200EC" w:rsidRDefault="008200EC" w:rsidP="008200EC">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113C52" w:rsidRPr="00113C52">
        <w:rPr>
          <w:rFonts w:ascii="Times New Roman" w:hAnsi="Times New Roman"/>
          <w:sz w:val="28"/>
          <w:szCs w:val="28"/>
        </w:rPr>
        <w:t>першого заступника керівника Лівобережної окружної прокуратури Донецької області Даглі Є</w:t>
      </w:r>
      <w:r w:rsidR="00113C52">
        <w:rPr>
          <w:rFonts w:ascii="Times New Roman" w:hAnsi="Times New Roman"/>
          <w:sz w:val="28"/>
          <w:szCs w:val="28"/>
        </w:rPr>
        <w:t>.</w:t>
      </w:r>
      <w:r w:rsidR="00113C52" w:rsidRPr="00113C52">
        <w:rPr>
          <w:rFonts w:ascii="Times New Roman" w:hAnsi="Times New Roman"/>
          <w:sz w:val="28"/>
          <w:szCs w:val="28"/>
        </w:rPr>
        <w:t>К</w:t>
      </w:r>
      <w:r w:rsidR="00113C52">
        <w:rPr>
          <w:rFonts w:ascii="Times New Roman" w:hAnsi="Times New Roman"/>
          <w:sz w:val="28"/>
          <w:szCs w:val="28"/>
        </w:rPr>
        <w:t>.</w:t>
      </w:r>
    </w:p>
    <w:p w14:paraId="17F7BA94" w14:textId="77777777" w:rsidR="008200EC" w:rsidRDefault="008200EC" w:rsidP="008200E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15BD792A" w14:textId="77777777" w:rsidR="008200EC" w:rsidRDefault="008200EC" w:rsidP="008200EC">
      <w:pPr>
        <w:widowControl w:val="0"/>
        <w:tabs>
          <w:tab w:val="left" w:pos="851"/>
        </w:tabs>
        <w:spacing w:line="240" w:lineRule="auto"/>
        <w:contextualSpacing/>
        <w:jc w:val="both"/>
        <w:rPr>
          <w:rFonts w:ascii="Times New Roman" w:hAnsi="Times New Roman"/>
          <w:sz w:val="28"/>
          <w:szCs w:val="28"/>
        </w:rPr>
      </w:pPr>
    </w:p>
    <w:p w14:paraId="20DDF8FB" w14:textId="77777777" w:rsidR="008200EC" w:rsidRDefault="008200EC" w:rsidP="008200EC">
      <w:pPr>
        <w:widowControl w:val="0"/>
        <w:tabs>
          <w:tab w:val="left" w:pos="851"/>
        </w:tabs>
        <w:spacing w:line="240" w:lineRule="auto"/>
        <w:contextualSpacing/>
        <w:jc w:val="both"/>
        <w:rPr>
          <w:rFonts w:ascii="Times New Roman" w:hAnsi="Times New Roman"/>
          <w:b/>
          <w:sz w:val="28"/>
          <w:szCs w:val="28"/>
        </w:rPr>
      </w:pPr>
    </w:p>
    <w:p w14:paraId="7EA57BEA" w14:textId="77777777" w:rsidR="008200EC" w:rsidRDefault="008200EC" w:rsidP="008200EC">
      <w:pPr>
        <w:widowControl w:val="0"/>
        <w:tabs>
          <w:tab w:val="left" w:pos="851"/>
        </w:tabs>
        <w:spacing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p w14:paraId="2D8FABD5" w14:textId="77777777" w:rsidR="008200EC" w:rsidRDefault="008200EC" w:rsidP="008200EC"/>
    <w:sectPr w:rsidR="008200EC" w:rsidSect="00367C6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53C2E" w14:textId="77777777" w:rsidR="005C4808" w:rsidRDefault="005C4808">
      <w:pPr>
        <w:spacing w:after="0" w:line="240" w:lineRule="auto"/>
      </w:pPr>
      <w:r>
        <w:separator/>
      </w:r>
    </w:p>
  </w:endnote>
  <w:endnote w:type="continuationSeparator" w:id="0">
    <w:p w14:paraId="443F4C08" w14:textId="77777777" w:rsidR="005C4808" w:rsidRDefault="005C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A2C5C" w14:textId="77777777" w:rsidR="005C4808" w:rsidRDefault="005C4808">
      <w:pPr>
        <w:spacing w:after="0" w:line="240" w:lineRule="auto"/>
      </w:pPr>
      <w:r>
        <w:separator/>
      </w:r>
    </w:p>
  </w:footnote>
  <w:footnote w:type="continuationSeparator" w:id="0">
    <w:p w14:paraId="2B2512F2" w14:textId="77777777" w:rsidR="005C4808" w:rsidRDefault="005C4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504FFC14" w:rsidR="00353D1D" w:rsidRDefault="00353D1D" w:rsidP="00FE45BA">
        <w:pPr>
          <w:pStyle w:val="a4"/>
          <w:jc w:val="center"/>
        </w:pPr>
        <w:r>
          <w:fldChar w:fldCharType="begin"/>
        </w:r>
        <w:r>
          <w:instrText>PAGE   \* MERGEFORMAT</w:instrText>
        </w:r>
        <w:r>
          <w:fldChar w:fldCharType="separate"/>
        </w:r>
        <w:r w:rsidR="004A1C5B" w:rsidRPr="004A1C5B">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7190"/>
    <w:rsid w:val="000143B5"/>
    <w:rsid w:val="00040684"/>
    <w:rsid w:val="000562AC"/>
    <w:rsid w:val="00071F1E"/>
    <w:rsid w:val="000A0903"/>
    <w:rsid w:val="000A44BB"/>
    <w:rsid w:val="000C0597"/>
    <w:rsid w:val="000C1362"/>
    <w:rsid w:val="000C3584"/>
    <w:rsid w:val="000C51D2"/>
    <w:rsid w:val="00113C52"/>
    <w:rsid w:val="001701A5"/>
    <w:rsid w:val="001C0248"/>
    <w:rsid w:val="001C145A"/>
    <w:rsid w:val="001C15E3"/>
    <w:rsid w:val="001F15F9"/>
    <w:rsid w:val="00201924"/>
    <w:rsid w:val="00222416"/>
    <w:rsid w:val="0023154E"/>
    <w:rsid w:val="00235EF5"/>
    <w:rsid w:val="002728B7"/>
    <w:rsid w:val="00287C1B"/>
    <w:rsid w:val="002E2F62"/>
    <w:rsid w:val="002E4873"/>
    <w:rsid w:val="00334350"/>
    <w:rsid w:val="00334739"/>
    <w:rsid w:val="00336A6A"/>
    <w:rsid w:val="00353D1D"/>
    <w:rsid w:val="00367C65"/>
    <w:rsid w:val="003B15F0"/>
    <w:rsid w:val="003C119E"/>
    <w:rsid w:val="003D7FC2"/>
    <w:rsid w:val="003E72D7"/>
    <w:rsid w:val="003F0A30"/>
    <w:rsid w:val="004053A5"/>
    <w:rsid w:val="00413657"/>
    <w:rsid w:val="00416E55"/>
    <w:rsid w:val="00442F9F"/>
    <w:rsid w:val="0047527A"/>
    <w:rsid w:val="00494C7C"/>
    <w:rsid w:val="004A1885"/>
    <w:rsid w:val="004A1C5B"/>
    <w:rsid w:val="004F3D1D"/>
    <w:rsid w:val="0050083F"/>
    <w:rsid w:val="00536D76"/>
    <w:rsid w:val="00542062"/>
    <w:rsid w:val="005C4808"/>
    <w:rsid w:val="005F3BF2"/>
    <w:rsid w:val="00603471"/>
    <w:rsid w:val="00614DBB"/>
    <w:rsid w:val="0064156F"/>
    <w:rsid w:val="0065228D"/>
    <w:rsid w:val="006677E6"/>
    <w:rsid w:val="00670A24"/>
    <w:rsid w:val="00680093"/>
    <w:rsid w:val="006940A2"/>
    <w:rsid w:val="006A0328"/>
    <w:rsid w:val="006B6C7B"/>
    <w:rsid w:val="006E108D"/>
    <w:rsid w:val="00731607"/>
    <w:rsid w:val="00791D91"/>
    <w:rsid w:val="007F31E4"/>
    <w:rsid w:val="007F7F40"/>
    <w:rsid w:val="008200EC"/>
    <w:rsid w:val="008642FE"/>
    <w:rsid w:val="00880C39"/>
    <w:rsid w:val="00881FB7"/>
    <w:rsid w:val="0088440D"/>
    <w:rsid w:val="008C5F8D"/>
    <w:rsid w:val="0096748F"/>
    <w:rsid w:val="009A0AB2"/>
    <w:rsid w:val="009F276D"/>
    <w:rsid w:val="00A7246A"/>
    <w:rsid w:val="00A74363"/>
    <w:rsid w:val="00AB3561"/>
    <w:rsid w:val="00AB4725"/>
    <w:rsid w:val="00AD2E6E"/>
    <w:rsid w:val="00AF1ACE"/>
    <w:rsid w:val="00B024E8"/>
    <w:rsid w:val="00B07BB7"/>
    <w:rsid w:val="00B14B93"/>
    <w:rsid w:val="00B567C0"/>
    <w:rsid w:val="00BB5BBE"/>
    <w:rsid w:val="00BB7AE0"/>
    <w:rsid w:val="00BC5CF6"/>
    <w:rsid w:val="00C03569"/>
    <w:rsid w:val="00C232A2"/>
    <w:rsid w:val="00C271A3"/>
    <w:rsid w:val="00C3790D"/>
    <w:rsid w:val="00C81483"/>
    <w:rsid w:val="00C90F93"/>
    <w:rsid w:val="00CA28B9"/>
    <w:rsid w:val="00CD7652"/>
    <w:rsid w:val="00D02F98"/>
    <w:rsid w:val="00D23946"/>
    <w:rsid w:val="00D265D5"/>
    <w:rsid w:val="00D41DBF"/>
    <w:rsid w:val="00D471F4"/>
    <w:rsid w:val="00D50AD0"/>
    <w:rsid w:val="00D85DFE"/>
    <w:rsid w:val="00DC46B2"/>
    <w:rsid w:val="00DD4E05"/>
    <w:rsid w:val="00DE30B2"/>
    <w:rsid w:val="00DF5470"/>
    <w:rsid w:val="00E11CEC"/>
    <w:rsid w:val="00E27449"/>
    <w:rsid w:val="00E432E3"/>
    <w:rsid w:val="00E84ED5"/>
    <w:rsid w:val="00EC2780"/>
    <w:rsid w:val="00EE66C4"/>
    <w:rsid w:val="00EF534D"/>
    <w:rsid w:val="00F31B81"/>
    <w:rsid w:val="00F40FD3"/>
    <w:rsid w:val="00F57D06"/>
    <w:rsid w:val="00F6064C"/>
    <w:rsid w:val="00F71E2E"/>
    <w:rsid w:val="00F80CFE"/>
    <w:rsid w:val="00F86888"/>
    <w:rsid w:val="00FB1E57"/>
    <w:rsid w:val="00FB2684"/>
    <w:rsid w:val="00FE06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character" w:styleId="a7">
    <w:name w:val="Emphasis"/>
    <w:basedOn w:val="a0"/>
    <w:uiPriority w:val="20"/>
    <w:qFormat/>
    <w:rsid w:val="00AD2E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9503</Words>
  <Characters>5417</Characters>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2025-07-22T14:10:00Z</cp:lastPrinted>
  <dcterms:created xsi:type="dcterms:W3CDTF">2025-07-25T11:38:00Z</dcterms:created>
  <dcterms:modified xsi:type="dcterms:W3CDTF">2025-07-25T11:38:00Z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