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4267F8" w:rsidRPr="004267F8" w:rsidTr="00072EFB">
        <w:tc>
          <w:tcPr>
            <w:tcW w:w="3291" w:type="dxa"/>
            <w:shd w:val="clear" w:color="auto" w:fill="auto"/>
          </w:tcPr>
          <w:p w:rsidR="004267F8" w:rsidRPr="004267F8" w:rsidRDefault="004267F8" w:rsidP="004267F8">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rsidR="004267F8" w:rsidRPr="004267F8" w:rsidRDefault="004267F8" w:rsidP="004267F8">
            <w:pPr>
              <w:spacing w:after="0" w:line="240" w:lineRule="auto"/>
              <w:jc w:val="center"/>
              <w:rPr>
                <w:rFonts w:ascii="Times New Roman" w:eastAsia="Calibri" w:hAnsi="Times New Roman" w:cs="Times New Roman"/>
                <w:sz w:val="28"/>
                <w:szCs w:val="28"/>
                <w:lang w:val="uk-UA"/>
              </w:rPr>
            </w:pPr>
            <w:r w:rsidRPr="004267F8">
              <w:rPr>
                <w:rFonts w:ascii="Calibri" w:eastAsia="Calibri" w:hAnsi="Calibri" w:cs="Times New Roman"/>
                <w:noProof/>
                <w:sz w:val="19"/>
                <w:lang w:eastAsia="ru-RU"/>
              </w:rPr>
              <w:drawing>
                <wp:inline distT="0" distB="0" distL="0" distR="0" wp14:anchorId="349B979F" wp14:editId="5014762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4267F8" w:rsidRPr="004267F8" w:rsidRDefault="004267F8" w:rsidP="004267F8">
            <w:pPr>
              <w:spacing w:after="0" w:line="240" w:lineRule="auto"/>
              <w:rPr>
                <w:rFonts w:ascii="Times New Roman" w:eastAsia="Calibri" w:hAnsi="Times New Roman" w:cs="Times New Roman"/>
                <w:sz w:val="28"/>
                <w:szCs w:val="28"/>
                <w:lang w:val="uk-UA"/>
              </w:rPr>
            </w:pPr>
          </w:p>
        </w:tc>
      </w:tr>
      <w:tr w:rsidR="004267F8" w:rsidRPr="004267F8" w:rsidTr="00072EFB">
        <w:tc>
          <w:tcPr>
            <w:tcW w:w="9962" w:type="dxa"/>
            <w:gridSpan w:val="5"/>
            <w:shd w:val="clear" w:color="auto" w:fill="auto"/>
          </w:tcPr>
          <w:p w:rsidR="004267F8" w:rsidRPr="004267F8" w:rsidRDefault="004267F8" w:rsidP="004267F8">
            <w:pPr>
              <w:spacing w:after="0" w:line="240" w:lineRule="auto"/>
              <w:rPr>
                <w:rFonts w:ascii="Times New Roman" w:eastAsia="Calibri" w:hAnsi="Times New Roman" w:cs="Times New Roman"/>
                <w:sz w:val="28"/>
                <w:szCs w:val="28"/>
                <w:lang w:val="uk-UA"/>
              </w:rPr>
            </w:pPr>
          </w:p>
        </w:tc>
      </w:tr>
      <w:tr w:rsidR="004267F8" w:rsidRPr="004267F8" w:rsidTr="00072EFB">
        <w:tc>
          <w:tcPr>
            <w:tcW w:w="9962" w:type="dxa"/>
            <w:gridSpan w:val="5"/>
            <w:shd w:val="clear" w:color="auto" w:fill="auto"/>
            <w:hideMark/>
          </w:tcPr>
          <w:p w:rsidR="004267F8" w:rsidRPr="004267F8" w:rsidRDefault="004267F8" w:rsidP="004267F8">
            <w:pPr>
              <w:spacing w:after="200" w:line="276" w:lineRule="auto"/>
              <w:jc w:val="center"/>
              <w:rPr>
                <w:rFonts w:ascii="Times New Roman" w:eastAsia="Calibri" w:hAnsi="Times New Roman" w:cs="Times New Roman"/>
                <w:kern w:val="28"/>
                <w:sz w:val="32"/>
                <w:szCs w:val="32"/>
                <w:lang w:val="uk-UA"/>
              </w:rPr>
            </w:pPr>
            <w:r w:rsidRPr="004267F8">
              <w:rPr>
                <w:rFonts w:ascii="Times New Roman" w:eastAsia="Calibri" w:hAnsi="Times New Roman" w:cs="Times New Roman"/>
                <w:bCs/>
                <w:kern w:val="28"/>
                <w:sz w:val="36"/>
                <w:szCs w:val="32"/>
                <w:lang w:val="uk-UA"/>
              </w:rPr>
              <w:t xml:space="preserve">КВАЛІФІКАЦІЙНО-ДИСЦИПЛІНАРНА </w:t>
            </w:r>
            <w:r w:rsidRPr="004267F8">
              <w:rPr>
                <w:rFonts w:ascii="Times New Roman" w:eastAsia="Calibri" w:hAnsi="Times New Roman" w:cs="Times New Roman"/>
                <w:bCs/>
                <w:kern w:val="28"/>
                <w:sz w:val="36"/>
                <w:szCs w:val="32"/>
                <w:lang w:val="uk-UA"/>
              </w:rPr>
              <w:br/>
              <w:t>КОМІСІЯ ПРОКУРОРІВ</w:t>
            </w:r>
          </w:p>
        </w:tc>
      </w:tr>
      <w:tr w:rsidR="004267F8" w:rsidRPr="004267F8" w:rsidTr="00072EFB">
        <w:tc>
          <w:tcPr>
            <w:tcW w:w="9962" w:type="dxa"/>
            <w:gridSpan w:val="5"/>
            <w:shd w:val="clear" w:color="auto" w:fill="auto"/>
          </w:tcPr>
          <w:p w:rsidR="004267F8" w:rsidRPr="004267F8" w:rsidRDefault="004267F8" w:rsidP="004267F8">
            <w:pPr>
              <w:spacing w:after="0" w:line="240" w:lineRule="auto"/>
              <w:jc w:val="center"/>
              <w:rPr>
                <w:rFonts w:ascii="Times New Roman" w:eastAsia="Calibri" w:hAnsi="Times New Roman" w:cs="Times New Roman"/>
                <w:sz w:val="28"/>
                <w:szCs w:val="28"/>
                <w:lang w:val="uk-UA"/>
              </w:rPr>
            </w:pPr>
          </w:p>
        </w:tc>
      </w:tr>
      <w:tr w:rsidR="004267F8" w:rsidRPr="004267F8" w:rsidTr="00072EFB">
        <w:tc>
          <w:tcPr>
            <w:tcW w:w="3400" w:type="dxa"/>
            <w:gridSpan w:val="2"/>
            <w:shd w:val="clear" w:color="auto" w:fill="auto"/>
          </w:tcPr>
          <w:p w:rsidR="004267F8" w:rsidRPr="004267F8" w:rsidRDefault="004267F8" w:rsidP="004267F8">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4267F8" w:rsidRPr="004267F8" w:rsidRDefault="004267F8" w:rsidP="004267F8">
            <w:pPr>
              <w:spacing w:after="0" w:line="240" w:lineRule="auto"/>
              <w:jc w:val="center"/>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t>РІШЕННЯ</w:t>
            </w:r>
          </w:p>
        </w:tc>
        <w:tc>
          <w:tcPr>
            <w:tcW w:w="3382" w:type="dxa"/>
            <w:gridSpan w:val="2"/>
            <w:shd w:val="clear" w:color="auto" w:fill="auto"/>
          </w:tcPr>
          <w:p w:rsidR="004267F8" w:rsidRPr="004267F8" w:rsidRDefault="004267F8" w:rsidP="004267F8">
            <w:pPr>
              <w:spacing w:after="0" w:line="240" w:lineRule="auto"/>
              <w:rPr>
                <w:rFonts w:ascii="Times New Roman" w:eastAsia="Calibri" w:hAnsi="Times New Roman" w:cs="Times New Roman"/>
                <w:sz w:val="28"/>
                <w:szCs w:val="28"/>
                <w:lang w:val="uk-UA"/>
              </w:rPr>
            </w:pPr>
          </w:p>
        </w:tc>
      </w:tr>
      <w:tr w:rsidR="004267F8" w:rsidRPr="004267F8" w:rsidTr="00072EFB">
        <w:tc>
          <w:tcPr>
            <w:tcW w:w="3400" w:type="dxa"/>
            <w:gridSpan w:val="2"/>
            <w:shd w:val="clear" w:color="auto" w:fill="auto"/>
          </w:tcPr>
          <w:p w:rsidR="004267F8" w:rsidRPr="004267F8" w:rsidRDefault="004267F8" w:rsidP="004267F8">
            <w:pPr>
              <w:spacing w:after="0" w:line="240" w:lineRule="auto"/>
              <w:rPr>
                <w:rFonts w:ascii="Times New Roman" w:eastAsia="Calibri" w:hAnsi="Times New Roman" w:cs="Times New Roman"/>
                <w:sz w:val="28"/>
                <w:szCs w:val="28"/>
                <w:lang w:val="uk-UA"/>
              </w:rPr>
            </w:pPr>
          </w:p>
          <w:p w:rsidR="004267F8" w:rsidRPr="004267F8" w:rsidRDefault="004267F8" w:rsidP="004267F8">
            <w:pPr>
              <w:spacing w:after="0" w:line="240" w:lineRule="auto"/>
              <w:rPr>
                <w:rFonts w:ascii="Times New Roman" w:eastAsia="Calibri" w:hAnsi="Times New Roman" w:cs="Times New Roman"/>
                <w:sz w:val="28"/>
                <w:szCs w:val="28"/>
                <w:lang w:val="uk-UA"/>
              </w:rPr>
            </w:pPr>
          </w:p>
        </w:tc>
        <w:tc>
          <w:tcPr>
            <w:tcW w:w="3180" w:type="dxa"/>
            <w:shd w:val="clear" w:color="auto" w:fill="auto"/>
          </w:tcPr>
          <w:p w:rsidR="004267F8" w:rsidRPr="004267F8" w:rsidRDefault="004267F8" w:rsidP="004267F8">
            <w:pPr>
              <w:spacing w:after="0" w:line="240" w:lineRule="auto"/>
              <w:rPr>
                <w:rFonts w:ascii="Times New Roman" w:eastAsia="Calibri" w:hAnsi="Times New Roman" w:cs="Times New Roman"/>
                <w:sz w:val="16"/>
                <w:szCs w:val="16"/>
                <w:lang w:val="uk-UA"/>
              </w:rPr>
            </w:pPr>
          </w:p>
        </w:tc>
        <w:tc>
          <w:tcPr>
            <w:tcW w:w="3382" w:type="dxa"/>
            <w:gridSpan w:val="2"/>
            <w:shd w:val="clear" w:color="auto" w:fill="auto"/>
          </w:tcPr>
          <w:p w:rsidR="004267F8" w:rsidRPr="004267F8" w:rsidRDefault="004267F8" w:rsidP="004267F8">
            <w:pPr>
              <w:spacing w:after="0" w:line="240" w:lineRule="auto"/>
              <w:rPr>
                <w:rFonts w:ascii="Times New Roman" w:eastAsia="Calibri" w:hAnsi="Times New Roman" w:cs="Times New Roman"/>
                <w:sz w:val="28"/>
                <w:szCs w:val="28"/>
                <w:lang w:val="uk-UA"/>
              </w:rPr>
            </w:pPr>
          </w:p>
        </w:tc>
      </w:tr>
      <w:tr w:rsidR="004267F8" w:rsidRPr="004267F8" w:rsidTr="00072EFB">
        <w:tc>
          <w:tcPr>
            <w:tcW w:w="3400" w:type="dxa"/>
            <w:gridSpan w:val="2"/>
            <w:shd w:val="clear" w:color="auto" w:fill="auto"/>
            <w:hideMark/>
          </w:tcPr>
          <w:p w:rsidR="004267F8" w:rsidRPr="004267F8" w:rsidRDefault="004267F8" w:rsidP="004267F8">
            <w:pPr>
              <w:spacing w:after="0" w:line="240" w:lineRule="auto"/>
              <w:ind w:left="-109"/>
              <w:rPr>
                <w:rFonts w:ascii="Times New Roman" w:eastAsia="Calibri" w:hAnsi="Times New Roman" w:cs="Times New Roman"/>
                <w:b/>
                <w:sz w:val="28"/>
                <w:szCs w:val="28"/>
                <w:lang w:val="uk-UA"/>
              </w:rPr>
            </w:pPr>
            <w:r w:rsidRPr="004267F8">
              <w:rPr>
                <w:rFonts w:ascii="Times New Roman" w:eastAsia="Calibri" w:hAnsi="Times New Roman" w:cs="Times New Roman"/>
                <w:b/>
                <w:color w:val="000000" w:themeColor="text1"/>
                <w:sz w:val="28"/>
                <w:szCs w:val="28"/>
                <w:lang w:val="uk-UA"/>
              </w:rPr>
              <w:t xml:space="preserve">16 квітня </w:t>
            </w:r>
            <w:r w:rsidRPr="004267F8">
              <w:rPr>
                <w:rFonts w:ascii="Times New Roman" w:eastAsia="Calibri" w:hAnsi="Times New Roman" w:cs="Times New Roman"/>
                <w:b/>
                <w:sz w:val="28"/>
                <w:szCs w:val="28"/>
                <w:lang w:val="uk-UA"/>
              </w:rPr>
              <w:t>2025 року</w:t>
            </w:r>
          </w:p>
        </w:tc>
        <w:tc>
          <w:tcPr>
            <w:tcW w:w="3180" w:type="dxa"/>
            <w:shd w:val="clear" w:color="auto" w:fill="auto"/>
            <w:hideMark/>
          </w:tcPr>
          <w:p w:rsidR="004267F8" w:rsidRPr="004267F8" w:rsidRDefault="004267F8" w:rsidP="004267F8">
            <w:pPr>
              <w:spacing w:after="0" w:line="240" w:lineRule="auto"/>
              <w:jc w:val="center"/>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t>Київ</w:t>
            </w:r>
          </w:p>
        </w:tc>
        <w:tc>
          <w:tcPr>
            <w:tcW w:w="3382" w:type="dxa"/>
            <w:gridSpan w:val="2"/>
            <w:shd w:val="clear" w:color="auto" w:fill="auto"/>
            <w:hideMark/>
          </w:tcPr>
          <w:p w:rsidR="004267F8" w:rsidRPr="004267F8" w:rsidRDefault="004267F8" w:rsidP="004267F8">
            <w:pPr>
              <w:spacing w:after="0" w:line="240" w:lineRule="auto"/>
              <w:ind w:right="356"/>
              <w:jc w:val="right"/>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t xml:space="preserve">            № 249дс-25</w:t>
            </w:r>
          </w:p>
          <w:p w:rsidR="004267F8" w:rsidRPr="004267F8" w:rsidRDefault="004267F8" w:rsidP="004267F8">
            <w:pPr>
              <w:spacing w:after="0" w:line="240" w:lineRule="auto"/>
              <w:ind w:right="356"/>
              <w:jc w:val="right"/>
              <w:rPr>
                <w:rFonts w:ascii="Times New Roman" w:eastAsia="Calibri" w:hAnsi="Times New Roman" w:cs="Times New Roman"/>
                <w:b/>
                <w:sz w:val="28"/>
                <w:szCs w:val="28"/>
                <w:lang w:val="uk-UA"/>
              </w:rPr>
            </w:pPr>
          </w:p>
        </w:tc>
      </w:tr>
    </w:tbl>
    <w:p w:rsidR="004267F8" w:rsidRPr="004267F8" w:rsidRDefault="004267F8" w:rsidP="004267F8">
      <w:pPr>
        <w:spacing w:after="0" w:line="240" w:lineRule="auto"/>
        <w:contextualSpacing/>
        <w:rPr>
          <w:rFonts w:ascii="Times New Roman" w:eastAsia="Calibri" w:hAnsi="Times New Roman" w:cs="Times New Roman"/>
          <w:b/>
          <w:noProof/>
          <w:sz w:val="28"/>
          <w:szCs w:val="28"/>
          <w:lang w:val="uk-UA" w:eastAsia="uk-UA"/>
        </w:rPr>
      </w:pPr>
      <w:r w:rsidRPr="004267F8">
        <w:rPr>
          <w:rFonts w:ascii="Times New Roman" w:eastAsia="Calibri" w:hAnsi="Times New Roman" w:cs="Times New Roman"/>
          <w:b/>
          <w:noProof/>
          <w:sz w:val="28"/>
          <w:szCs w:val="28"/>
          <w:lang w:val="uk-UA" w:eastAsia="uk-UA"/>
        </w:rPr>
        <w:t xml:space="preserve">Про відмову у відкритті </w:t>
      </w:r>
    </w:p>
    <w:p w:rsidR="004267F8" w:rsidRPr="004267F8" w:rsidRDefault="004267F8" w:rsidP="002D53D4">
      <w:pPr>
        <w:spacing w:after="0" w:line="240" w:lineRule="auto"/>
        <w:ind w:right="-285"/>
        <w:contextualSpacing/>
        <w:rPr>
          <w:rFonts w:ascii="Times New Roman" w:eastAsia="Calibri" w:hAnsi="Times New Roman" w:cs="Times New Roman"/>
          <w:b/>
          <w:noProof/>
          <w:sz w:val="28"/>
          <w:szCs w:val="28"/>
          <w:lang w:val="uk-UA" w:eastAsia="uk-UA"/>
        </w:rPr>
      </w:pPr>
      <w:r w:rsidRPr="004267F8">
        <w:rPr>
          <w:rFonts w:ascii="Times New Roman" w:eastAsia="Calibri" w:hAnsi="Times New Roman" w:cs="Times New Roman"/>
          <w:b/>
          <w:noProof/>
          <w:sz w:val="28"/>
          <w:szCs w:val="28"/>
          <w:lang w:val="uk-UA" w:eastAsia="uk-UA"/>
        </w:rPr>
        <w:t xml:space="preserve">дисциплінарного провадження </w:t>
      </w:r>
    </w:p>
    <w:p w:rsidR="004267F8" w:rsidRPr="004267F8" w:rsidRDefault="004267F8" w:rsidP="002D53D4">
      <w:pPr>
        <w:spacing w:after="0" w:line="240" w:lineRule="auto"/>
        <w:ind w:right="-285"/>
        <w:contextualSpacing/>
        <w:rPr>
          <w:rFonts w:ascii="Times New Roman" w:eastAsia="Calibri" w:hAnsi="Times New Roman" w:cs="Times New Roman"/>
          <w:b/>
          <w:noProof/>
          <w:sz w:val="28"/>
          <w:szCs w:val="28"/>
          <w:lang w:val="uk-UA" w:eastAsia="uk-UA"/>
        </w:rPr>
      </w:pPr>
    </w:p>
    <w:p w:rsidR="004267F8" w:rsidRPr="004267F8" w:rsidRDefault="004267F8" w:rsidP="002D53D4">
      <w:pPr>
        <w:widowControl w:val="0"/>
        <w:tabs>
          <w:tab w:val="left" w:pos="993"/>
        </w:tabs>
        <w:spacing w:after="12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Член </w:t>
      </w:r>
      <w:r w:rsidRPr="004267F8">
        <w:rPr>
          <w:rFonts w:ascii="Times New Roman" w:eastAsia="Calibri" w:hAnsi="Times New Roman" w:cs="Times New Roman"/>
          <w:bCs/>
          <w:sz w:val="28"/>
          <w:szCs w:val="28"/>
          <w:lang w:val="uk-UA"/>
        </w:rPr>
        <w:t>Кваліфікаційно-дисциплінарної комісії прокурорів</w:t>
      </w:r>
      <w:r w:rsidRPr="004267F8">
        <w:rPr>
          <w:rFonts w:ascii="Calibri" w:eastAsia="Calibri" w:hAnsi="Calibri" w:cs="Times New Roman"/>
          <w:b/>
          <w:bCs/>
          <w:szCs w:val="28"/>
          <w:lang w:val="uk-UA"/>
        </w:rPr>
        <w:t xml:space="preserve"> </w:t>
      </w:r>
      <w:r w:rsidRPr="004267F8">
        <w:rPr>
          <w:rFonts w:ascii="Times New Roman" w:eastAsia="Calibri" w:hAnsi="Times New Roman" w:cs="Times New Roman"/>
          <w:bCs/>
          <w:sz w:val="28"/>
          <w:szCs w:val="28"/>
          <w:lang w:val="uk-UA"/>
        </w:rPr>
        <w:t>Гарбуза Н.В</w:t>
      </w:r>
      <w:r w:rsidRPr="004267F8">
        <w:rPr>
          <w:rFonts w:ascii="Times New Roman" w:eastAsia="Calibri" w:hAnsi="Times New Roman" w:cs="Times New Roman"/>
          <w:sz w:val="28"/>
          <w:szCs w:val="28"/>
          <w:lang w:val="uk-UA"/>
        </w:rPr>
        <w:t xml:space="preserve">., розглянувши дисциплінарну </w:t>
      </w:r>
      <w:bookmarkStart w:id="0" w:name="_Hlk124933696"/>
      <w:r w:rsidRPr="004267F8">
        <w:rPr>
          <w:rFonts w:ascii="Times New Roman" w:eastAsia="Calibri" w:hAnsi="Times New Roman" w:cs="Times New Roman"/>
          <w:sz w:val="28"/>
          <w:szCs w:val="28"/>
          <w:lang w:val="uk-UA"/>
        </w:rPr>
        <w:t xml:space="preserve">скаргу </w:t>
      </w:r>
      <w:bookmarkStart w:id="1" w:name="_Hlk126658932"/>
      <w:bookmarkEnd w:id="0"/>
      <w:r w:rsidR="00790939">
        <w:rPr>
          <w:rFonts w:ascii="Times New Roman" w:eastAsia="Calibri" w:hAnsi="Times New Roman" w:cs="Times New Roman"/>
          <w:sz w:val="28"/>
          <w:szCs w:val="28"/>
          <w:lang w:val="uk-UA"/>
        </w:rPr>
        <w:t>ОСОБА 1</w:t>
      </w:r>
      <w:r w:rsidRPr="004267F8">
        <w:rPr>
          <w:rFonts w:ascii="Times New Roman" w:eastAsia="Calibri" w:hAnsi="Times New Roman" w:cs="Times New Roman"/>
          <w:sz w:val="28"/>
          <w:szCs w:val="28"/>
          <w:lang w:val="uk-UA"/>
        </w:rPr>
        <w:t xml:space="preserve"> </w:t>
      </w:r>
      <w:bookmarkEnd w:id="1"/>
      <w:r w:rsidRPr="004267F8">
        <w:rPr>
          <w:rFonts w:ascii="Times New Roman" w:eastAsia="Calibri" w:hAnsi="Times New Roman" w:cs="Times New Roman"/>
          <w:sz w:val="28"/>
          <w:szCs w:val="28"/>
          <w:lang w:val="uk-UA"/>
        </w:rPr>
        <w:t>стосовно 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w:t>
      </w:r>
      <w:r w:rsidR="00ED73A5">
        <w:rPr>
          <w:rFonts w:ascii="Times New Roman" w:eastAsia="Calibri" w:hAnsi="Times New Roman" w:cs="Times New Roman"/>
          <w:sz w:val="28"/>
          <w:szCs w:val="28"/>
          <w:lang w:val="uk-UA"/>
        </w:rPr>
        <w:t> </w:t>
      </w:r>
      <w:r w:rsidRPr="004267F8">
        <w:rPr>
          <w:rFonts w:ascii="Times New Roman" w:eastAsia="Calibri" w:hAnsi="Times New Roman" w:cs="Times New Roman"/>
          <w:sz w:val="28"/>
          <w:szCs w:val="28"/>
          <w:lang w:val="uk-UA"/>
        </w:rPr>
        <w:t xml:space="preserve"> Київської міської прокуратури Столярчука С.О. (далі – прокурор Столярчук С.О.),</w:t>
      </w:r>
    </w:p>
    <w:p w:rsidR="004267F8" w:rsidRPr="004267F8" w:rsidRDefault="004267F8" w:rsidP="002D53D4">
      <w:pPr>
        <w:widowControl w:val="0"/>
        <w:tabs>
          <w:tab w:val="left" w:pos="993"/>
        </w:tabs>
        <w:spacing w:after="120" w:line="240" w:lineRule="auto"/>
        <w:ind w:right="-285" w:firstLine="567"/>
        <w:contextualSpacing/>
        <w:jc w:val="both"/>
        <w:rPr>
          <w:rFonts w:ascii="Times New Roman" w:eastAsia="Calibri" w:hAnsi="Times New Roman" w:cs="Times New Roman"/>
          <w:sz w:val="16"/>
          <w:szCs w:val="16"/>
          <w:lang w:val="uk-UA"/>
        </w:rPr>
      </w:pPr>
    </w:p>
    <w:p w:rsidR="004267F8" w:rsidRPr="004267F8" w:rsidRDefault="004267F8" w:rsidP="002D53D4">
      <w:pPr>
        <w:widowControl w:val="0"/>
        <w:tabs>
          <w:tab w:val="left" w:pos="993"/>
        </w:tabs>
        <w:spacing w:after="0" w:line="240" w:lineRule="auto"/>
        <w:ind w:right="-285"/>
        <w:contextualSpacing/>
        <w:jc w:val="center"/>
        <w:rPr>
          <w:rFonts w:ascii="Times New Roman" w:eastAsia="Calibri" w:hAnsi="Times New Roman" w:cs="Times New Roman"/>
          <w:b/>
          <w:noProof/>
          <w:sz w:val="28"/>
          <w:szCs w:val="28"/>
          <w:lang w:val="uk-UA" w:eastAsia="uk-UA"/>
        </w:rPr>
      </w:pPr>
      <w:r w:rsidRPr="004267F8">
        <w:rPr>
          <w:rFonts w:ascii="Times New Roman" w:eastAsia="Calibri" w:hAnsi="Times New Roman" w:cs="Times New Roman"/>
          <w:b/>
          <w:noProof/>
          <w:sz w:val="28"/>
          <w:szCs w:val="28"/>
          <w:lang w:val="uk-UA" w:eastAsia="uk-UA"/>
        </w:rPr>
        <w:t>В С Т А Н О В И Л А:</w:t>
      </w:r>
    </w:p>
    <w:p w:rsidR="004267F8" w:rsidRPr="004267F8" w:rsidRDefault="004267F8" w:rsidP="002D53D4">
      <w:pPr>
        <w:widowControl w:val="0"/>
        <w:tabs>
          <w:tab w:val="left" w:pos="993"/>
        </w:tabs>
        <w:spacing w:after="0" w:line="240" w:lineRule="auto"/>
        <w:ind w:right="-285" w:firstLine="567"/>
        <w:contextualSpacing/>
        <w:jc w:val="center"/>
        <w:rPr>
          <w:rFonts w:ascii="Times New Roman" w:eastAsia="Calibri" w:hAnsi="Times New Roman" w:cs="Times New Roman"/>
          <w:b/>
          <w:noProof/>
          <w:sz w:val="28"/>
          <w:szCs w:val="28"/>
          <w:lang w:val="uk-UA" w:eastAsia="uk-UA"/>
        </w:rPr>
      </w:pP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До Комісії надійшла дисциплінарна скарга </w:t>
      </w:r>
      <w:r w:rsidR="00790939">
        <w:rPr>
          <w:rFonts w:ascii="Times New Roman" w:eastAsia="Calibri" w:hAnsi="Times New Roman" w:cs="Times New Roman"/>
          <w:sz w:val="28"/>
          <w:szCs w:val="28"/>
          <w:lang w:val="uk-UA"/>
        </w:rPr>
        <w:t>ОСОБА 1</w:t>
      </w:r>
      <w:r w:rsidRPr="004267F8">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Столярчуком С.О.</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Скарга передана мені, члену Комісії Гарбузі Н.В. (протокол </w:t>
      </w:r>
      <w:proofErr w:type="spellStart"/>
      <w:r w:rsidRPr="004267F8">
        <w:rPr>
          <w:rFonts w:ascii="Times New Roman" w:eastAsia="Calibri" w:hAnsi="Times New Roman" w:cs="Times New Roman"/>
          <w:sz w:val="28"/>
          <w:szCs w:val="28"/>
          <w:lang w:val="uk-UA"/>
        </w:rPr>
        <w:t>авторозподілу</w:t>
      </w:r>
      <w:proofErr w:type="spellEnd"/>
      <w:r w:rsidRPr="004267F8">
        <w:rPr>
          <w:rFonts w:ascii="Times New Roman" w:eastAsia="Calibri" w:hAnsi="Times New Roman" w:cs="Times New Roman"/>
          <w:sz w:val="28"/>
          <w:szCs w:val="28"/>
          <w:lang w:val="uk-UA"/>
        </w:rPr>
        <w:t xml:space="preserve"> від 03 квітня 2025 року).</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p>
    <w:p w:rsidR="004267F8" w:rsidRPr="004267F8" w:rsidRDefault="004267F8" w:rsidP="002D53D4">
      <w:pPr>
        <w:tabs>
          <w:tab w:val="left" w:pos="567"/>
        </w:tabs>
        <w:spacing w:after="100" w:afterAutospacing="1"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b/>
          <w:sz w:val="28"/>
          <w:szCs w:val="28"/>
          <w:lang w:val="uk-UA"/>
        </w:rPr>
        <w:t>Зміст скарги</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 VІІ) підстав для притягнення прокурора до дисциплінарної відповідальності, відсутні інші реквізити.</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Водночас з її тексту можна вважати, що прокурор Столярчук С.О. вчинив дисциплінарний проступок, передбачений пунктом 1 (невиконання чи неналежне виконання службових обов’язків) частини першої статті 43 Закону № 1697-VІІ за таких обставин.</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Ухвалою слідчого судді Голосіївського районного суду міста Києва </w:t>
      </w:r>
      <w:r w:rsidR="00790939">
        <w:rPr>
          <w:rFonts w:ascii="Times New Roman" w:eastAsia="Calibri" w:hAnsi="Times New Roman" w:cs="Times New Roman"/>
          <w:sz w:val="28"/>
          <w:szCs w:val="28"/>
          <w:lang w:val="uk-UA"/>
        </w:rPr>
        <w:lastRenderedPageBreak/>
        <w:t>ОСОБА 2</w:t>
      </w:r>
      <w:r w:rsidRPr="004267F8">
        <w:rPr>
          <w:rFonts w:ascii="Times New Roman" w:eastAsia="Calibri" w:hAnsi="Times New Roman" w:cs="Times New Roman"/>
          <w:sz w:val="28"/>
          <w:szCs w:val="28"/>
          <w:lang w:val="uk-UA"/>
        </w:rPr>
        <w:t xml:space="preserve"> 14.03.2025 за результатами розгляду поданого в межах кримінального провадження № </w:t>
      </w:r>
      <w:r w:rsidR="00790939">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xml:space="preserve"> клопотання адвоката </w:t>
      </w:r>
      <w:r w:rsidR="00790939">
        <w:rPr>
          <w:rFonts w:ascii="Times New Roman" w:eastAsia="Calibri" w:hAnsi="Times New Roman" w:cs="Times New Roman"/>
          <w:sz w:val="28"/>
          <w:szCs w:val="28"/>
          <w:lang w:val="uk-UA"/>
        </w:rPr>
        <w:t>ОСОБА 3</w:t>
      </w:r>
      <w:r w:rsidRPr="004267F8">
        <w:rPr>
          <w:rFonts w:ascii="Times New Roman" w:eastAsia="Calibri" w:hAnsi="Times New Roman" w:cs="Times New Roman"/>
          <w:sz w:val="28"/>
          <w:szCs w:val="28"/>
          <w:lang w:val="uk-UA"/>
        </w:rPr>
        <w:t xml:space="preserve">, який діяв в інтересах власника майна </w:t>
      </w:r>
      <w:r w:rsidR="00790939">
        <w:rPr>
          <w:rFonts w:ascii="Times New Roman" w:eastAsia="Calibri" w:hAnsi="Times New Roman" w:cs="Times New Roman"/>
          <w:sz w:val="28"/>
          <w:szCs w:val="28"/>
          <w:lang w:val="uk-UA"/>
        </w:rPr>
        <w:t>–</w:t>
      </w:r>
      <w:r w:rsidRPr="004267F8">
        <w:rPr>
          <w:rFonts w:ascii="Times New Roman" w:eastAsia="Calibri" w:hAnsi="Times New Roman" w:cs="Times New Roman"/>
          <w:sz w:val="28"/>
          <w:szCs w:val="28"/>
          <w:lang w:val="uk-UA"/>
        </w:rPr>
        <w:t xml:space="preserve"> </w:t>
      </w:r>
      <w:r w:rsidR="00790939">
        <w:rPr>
          <w:rFonts w:ascii="Times New Roman" w:eastAsia="Calibri" w:hAnsi="Times New Roman" w:cs="Times New Roman"/>
          <w:sz w:val="28"/>
          <w:szCs w:val="28"/>
          <w:lang w:val="uk-UA"/>
        </w:rPr>
        <w:t>ОСОБА 1</w:t>
      </w:r>
      <w:r w:rsidRPr="004267F8">
        <w:rPr>
          <w:rFonts w:ascii="Times New Roman" w:eastAsia="Calibri" w:hAnsi="Times New Roman" w:cs="Times New Roman"/>
          <w:sz w:val="28"/>
          <w:szCs w:val="28"/>
          <w:lang w:val="uk-UA"/>
        </w:rPr>
        <w:t xml:space="preserve">, скасовано накладений ухвалою слідчого судді Голосіївського районного суду міста Києва від 15.11.2024 арешт на крипто активи </w:t>
      </w:r>
      <w:r w:rsidR="00790939">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xml:space="preserve"> із забороною користування, розпорядження чи відчуження. </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Ухвала про арешт майна постановлена за клопотанням прокурора Столярчука</w:t>
      </w:r>
      <w:r w:rsidR="00790939">
        <w:rPr>
          <w:rFonts w:ascii="Times New Roman" w:eastAsia="Calibri" w:hAnsi="Times New Roman" w:cs="Times New Roman"/>
          <w:sz w:val="28"/>
          <w:szCs w:val="28"/>
          <w:lang w:val="uk-UA"/>
        </w:rPr>
        <w:t> </w:t>
      </w:r>
      <w:r w:rsidRPr="004267F8">
        <w:rPr>
          <w:rFonts w:ascii="Times New Roman" w:eastAsia="Calibri" w:hAnsi="Times New Roman" w:cs="Times New Roman"/>
          <w:sz w:val="28"/>
          <w:szCs w:val="28"/>
          <w:lang w:val="uk-UA"/>
        </w:rPr>
        <w:t>С.О. з метою забезпечення речових доказів в рамках кримінального провадження №</w:t>
      </w:r>
      <w:r w:rsidR="00F91AC5">
        <w:rPr>
          <w:rFonts w:ascii="Times New Roman" w:eastAsia="Calibri" w:hAnsi="Times New Roman" w:cs="Times New Roman"/>
          <w:sz w:val="28"/>
          <w:szCs w:val="28"/>
          <w:lang w:val="uk-UA"/>
        </w:rPr>
        <w:t> </w:t>
      </w:r>
      <w:bookmarkStart w:id="2" w:name="_GoBack"/>
      <w:bookmarkEnd w:id="2"/>
      <w:r w:rsidR="00790939">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xml:space="preserve"> за ознаками кримінальних правопорушень, передбачених частиною п’ятою статті 361, частиною третьою статті 190, частиною четвертою статті 190 КК України. Постановою слідчого</w:t>
      </w:r>
      <w:r w:rsidR="00ED73A5">
        <w:rPr>
          <w:rFonts w:ascii="Times New Roman" w:eastAsia="Calibri" w:hAnsi="Times New Roman" w:cs="Times New Roman"/>
          <w:sz w:val="28"/>
          <w:szCs w:val="28"/>
          <w:lang w:val="uk-UA"/>
        </w:rPr>
        <w:t> </w:t>
      </w:r>
      <w:r w:rsidRPr="004267F8">
        <w:rPr>
          <w:rFonts w:ascii="Times New Roman" w:eastAsia="Calibri" w:hAnsi="Times New Roman" w:cs="Times New Roman"/>
          <w:sz w:val="28"/>
          <w:szCs w:val="28"/>
          <w:lang w:val="uk-UA"/>
        </w:rPr>
        <w:t xml:space="preserve"> СУ</w:t>
      </w:r>
      <w:r w:rsidR="00ED73A5">
        <w:rPr>
          <w:rFonts w:ascii="Times New Roman" w:eastAsia="Calibri" w:hAnsi="Times New Roman" w:cs="Times New Roman"/>
          <w:sz w:val="28"/>
          <w:szCs w:val="28"/>
          <w:lang w:val="uk-UA"/>
        </w:rPr>
        <w:t> </w:t>
      </w:r>
      <w:r w:rsidRPr="004267F8">
        <w:rPr>
          <w:rFonts w:ascii="Times New Roman" w:eastAsia="Calibri" w:hAnsi="Times New Roman" w:cs="Times New Roman"/>
          <w:sz w:val="28"/>
          <w:szCs w:val="28"/>
          <w:lang w:val="uk-UA"/>
        </w:rPr>
        <w:t>ГУНП у м.</w:t>
      </w:r>
      <w:r w:rsidR="00ED73A5">
        <w:rPr>
          <w:rFonts w:ascii="Times New Roman" w:eastAsia="Calibri" w:hAnsi="Times New Roman" w:cs="Times New Roman"/>
          <w:sz w:val="28"/>
          <w:szCs w:val="28"/>
          <w:lang w:val="uk-UA"/>
        </w:rPr>
        <w:t> </w:t>
      </w:r>
      <w:r w:rsidRPr="004267F8">
        <w:rPr>
          <w:rFonts w:ascii="Times New Roman" w:eastAsia="Calibri" w:hAnsi="Times New Roman" w:cs="Times New Roman"/>
          <w:sz w:val="28"/>
          <w:szCs w:val="28"/>
          <w:lang w:val="uk-UA"/>
        </w:rPr>
        <w:t>Києві від 13.11.2024 крипто активи, що зберігаються</w:t>
      </w:r>
      <w:r w:rsidRPr="004267F8">
        <w:rPr>
          <w:rFonts w:ascii="Times New Roman" w:eastAsia="Calibri" w:hAnsi="Times New Roman" w:cs="Times New Roman"/>
          <w:sz w:val="28"/>
          <w:szCs w:val="28"/>
          <w:lang w:val="en-US"/>
        </w:rPr>
        <w:t> </w:t>
      </w:r>
      <w:r w:rsidRPr="004267F8">
        <w:rPr>
          <w:rFonts w:ascii="Times New Roman" w:eastAsia="Calibri" w:hAnsi="Times New Roman" w:cs="Times New Roman"/>
          <w:sz w:val="28"/>
          <w:szCs w:val="28"/>
          <w:lang w:val="uk-UA"/>
        </w:rPr>
        <w:t xml:space="preserve"> на</w:t>
      </w:r>
      <w:r w:rsidRPr="004267F8">
        <w:rPr>
          <w:rFonts w:ascii="Times New Roman" w:eastAsia="Calibri" w:hAnsi="Times New Roman" w:cs="Times New Roman"/>
          <w:sz w:val="28"/>
          <w:szCs w:val="28"/>
          <w:lang w:val="en-US"/>
        </w:rPr>
        <w:t> </w:t>
      </w:r>
      <w:r w:rsidRPr="004267F8">
        <w:rPr>
          <w:rFonts w:ascii="Times New Roman" w:eastAsia="Calibri" w:hAnsi="Times New Roman" w:cs="Times New Roman"/>
          <w:sz w:val="28"/>
          <w:szCs w:val="28"/>
          <w:lang w:val="uk-UA"/>
        </w:rPr>
        <w:t xml:space="preserve"> крипто</w:t>
      </w:r>
      <w:r w:rsidRPr="004267F8">
        <w:rPr>
          <w:rFonts w:ascii="Times New Roman" w:eastAsia="Calibri" w:hAnsi="Times New Roman" w:cs="Times New Roman"/>
          <w:sz w:val="28"/>
          <w:szCs w:val="28"/>
          <w:lang w:val="en-US"/>
        </w:rPr>
        <w:t> </w:t>
      </w:r>
      <w:r w:rsidRPr="004267F8">
        <w:rPr>
          <w:rFonts w:ascii="Times New Roman" w:eastAsia="Calibri" w:hAnsi="Times New Roman" w:cs="Times New Roman"/>
          <w:sz w:val="28"/>
          <w:szCs w:val="28"/>
          <w:lang w:val="uk-UA"/>
        </w:rPr>
        <w:t xml:space="preserve"> валютному гаманці за </w:t>
      </w:r>
      <w:proofErr w:type="spellStart"/>
      <w:r w:rsidRPr="004267F8">
        <w:rPr>
          <w:rFonts w:ascii="Times New Roman" w:eastAsia="Calibri" w:hAnsi="Times New Roman" w:cs="Times New Roman"/>
          <w:sz w:val="28"/>
          <w:szCs w:val="28"/>
          <w:lang w:val="uk-UA"/>
        </w:rPr>
        <w:t>адресою</w:t>
      </w:r>
      <w:proofErr w:type="spellEnd"/>
      <w:r w:rsidRPr="004267F8">
        <w:rPr>
          <w:rFonts w:ascii="Times New Roman" w:eastAsia="Calibri" w:hAnsi="Times New Roman" w:cs="Times New Roman"/>
          <w:sz w:val="28"/>
          <w:szCs w:val="28"/>
        </w:rPr>
        <w:t xml:space="preserve"> </w:t>
      </w:r>
      <w:r w:rsidR="00790939">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xml:space="preserve">, визнані  речовими доказами в даному кримінальному провадженні. </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 Скаржник зазначив, що ухвала Голосіївського районного суду міста Києва від 14.03.2025 підлягала негайному виконанню, проте прокурор Столярчук</w:t>
      </w:r>
      <w:r w:rsidR="00790939">
        <w:rPr>
          <w:rFonts w:ascii="Times New Roman" w:eastAsia="Calibri" w:hAnsi="Times New Roman" w:cs="Times New Roman"/>
          <w:sz w:val="28"/>
          <w:szCs w:val="28"/>
          <w:lang w:val="uk-UA"/>
        </w:rPr>
        <w:t> </w:t>
      </w:r>
      <w:r w:rsidRPr="004267F8">
        <w:rPr>
          <w:rFonts w:ascii="Times New Roman" w:eastAsia="Calibri" w:hAnsi="Times New Roman" w:cs="Times New Roman"/>
          <w:sz w:val="28"/>
          <w:szCs w:val="28"/>
          <w:lang w:val="uk-UA"/>
        </w:rPr>
        <w:t>С.О. не вжив жодних дій для виконання цієї ухвали суду, а повторно звернувся 25.03.2025 з тих же підстав до Голосіївського районного суду міста Києва з клопотанням про накладення арешту на крипто активи</w:t>
      </w:r>
      <w:r w:rsidR="00790939">
        <w:rPr>
          <w:rFonts w:ascii="Times New Roman" w:eastAsia="Calibri" w:hAnsi="Times New Roman" w:cs="Times New Roman"/>
          <w:sz w:val="28"/>
          <w:szCs w:val="28"/>
          <w:lang w:val="uk-UA"/>
        </w:rPr>
        <w:t xml:space="preserve"> (конфіденційна інформація)</w:t>
      </w:r>
      <w:r w:rsidRPr="004267F8">
        <w:rPr>
          <w:rFonts w:ascii="Times New Roman" w:eastAsia="Calibri" w:hAnsi="Times New Roman" w:cs="Times New Roman"/>
          <w:sz w:val="28"/>
          <w:szCs w:val="28"/>
          <w:lang w:val="uk-UA"/>
        </w:rPr>
        <w:t xml:space="preserve">. Ухвалою слідчого судді Голосіївського районного суду міста Києва від 25.03.2025 клопотання прокурора задоволено та на майно накладено арешт із забороною користування, розпорядження чи відчуження. </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  Вказане, на думку скаржника, свідчить, що прокурором Столярчуком С.О. допущено зловживання правами процесуального керівника у кримінальному провадженні № </w:t>
      </w:r>
      <w:r w:rsidR="00790939">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xml:space="preserve"> шляхом ініціювання повторного подання клопотання про арешт майна </w:t>
      </w:r>
      <w:r w:rsidR="00790939">
        <w:rPr>
          <w:rFonts w:ascii="Times New Roman" w:eastAsia="Calibri" w:hAnsi="Times New Roman" w:cs="Times New Roman"/>
          <w:sz w:val="28"/>
          <w:szCs w:val="28"/>
          <w:lang w:val="uk-UA"/>
        </w:rPr>
        <w:t>ОСОБА</w:t>
      </w:r>
      <w:r w:rsidR="002D53D4">
        <w:rPr>
          <w:rFonts w:ascii="Times New Roman" w:eastAsia="Calibri" w:hAnsi="Times New Roman" w:cs="Times New Roman"/>
          <w:sz w:val="28"/>
          <w:szCs w:val="28"/>
          <w:lang w:val="uk-UA"/>
        </w:rPr>
        <w:t> </w:t>
      </w:r>
      <w:r w:rsidR="00790939">
        <w:rPr>
          <w:rFonts w:ascii="Times New Roman" w:eastAsia="Calibri" w:hAnsi="Times New Roman" w:cs="Times New Roman"/>
          <w:sz w:val="28"/>
          <w:szCs w:val="28"/>
          <w:lang w:val="uk-UA"/>
        </w:rPr>
        <w:t>1</w:t>
      </w:r>
      <w:r w:rsidRPr="004267F8">
        <w:rPr>
          <w:rFonts w:ascii="Times New Roman" w:eastAsia="Calibri" w:hAnsi="Times New Roman" w:cs="Times New Roman"/>
          <w:sz w:val="28"/>
          <w:szCs w:val="28"/>
          <w:lang w:val="uk-UA"/>
        </w:rPr>
        <w:t xml:space="preserve"> за відсутності підстав для арешту майна, перешкоджання виконанню судового рішення про скасування накладеного арешту на майно та сприяння подальшому незаконному утриманню майна, тому просив притягти прокурора Столярчука С.О. до дисциплінарної відповідальності.</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Окрім цього, у дисциплінарній скарзі викладаються норми законодавства з одночасним їх суб’єктивним тлумаченням, надається оцінка дій прокурора тощо.  </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b/>
          <w:sz w:val="28"/>
          <w:szCs w:val="28"/>
          <w:lang w:val="uk-UA"/>
        </w:rPr>
      </w:pPr>
      <w:r w:rsidRPr="004267F8">
        <w:rPr>
          <w:rFonts w:ascii="Times New Roman" w:eastAsia="Calibri" w:hAnsi="Times New Roman" w:cs="Times New Roman"/>
          <w:sz w:val="28"/>
          <w:szCs w:val="28"/>
          <w:lang w:val="uk-UA"/>
        </w:rPr>
        <w:t xml:space="preserve">  </w:t>
      </w:r>
    </w:p>
    <w:p w:rsidR="004267F8" w:rsidRPr="004267F8" w:rsidRDefault="004267F8" w:rsidP="002D53D4">
      <w:pPr>
        <w:tabs>
          <w:tab w:val="left" w:pos="567"/>
        </w:tabs>
        <w:spacing w:after="100" w:afterAutospacing="1" w:line="240" w:lineRule="auto"/>
        <w:ind w:right="-285" w:firstLine="567"/>
        <w:jc w:val="both"/>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t>Щодо встановлених фактичних даних</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До дисциплінарної скарги додано копії: ухвали Голосіївського районного суду м. Києва від 15 листопада 2024 року, 14 та 25 березня 2025 року (справа № </w:t>
      </w:r>
      <w:r w:rsidR="00790939">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відповіді Київської міської прокуратури на звернення О</w:t>
      </w:r>
      <w:r w:rsidR="00790939">
        <w:rPr>
          <w:rFonts w:ascii="Times New Roman" w:eastAsia="Calibri" w:hAnsi="Times New Roman" w:cs="Times New Roman"/>
          <w:sz w:val="28"/>
          <w:szCs w:val="28"/>
          <w:lang w:val="uk-UA"/>
        </w:rPr>
        <w:t>СОБА 1</w:t>
      </w:r>
      <w:r w:rsidRPr="004267F8">
        <w:rPr>
          <w:rFonts w:ascii="Times New Roman" w:eastAsia="Calibri" w:hAnsi="Times New Roman" w:cs="Times New Roman"/>
          <w:sz w:val="28"/>
          <w:szCs w:val="28"/>
          <w:lang w:val="uk-UA"/>
        </w:rPr>
        <w:t>; відповіді Секретаріату Уповноваженого Верховної Ради України з прав людини на звернення О</w:t>
      </w:r>
      <w:r w:rsidR="00790939">
        <w:rPr>
          <w:rFonts w:ascii="Times New Roman" w:eastAsia="Calibri" w:hAnsi="Times New Roman" w:cs="Times New Roman"/>
          <w:sz w:val="28"/>
          <w:szCs w:val="28"/>
          <w:lang w:val="uk-UA"/>
        </w:rPr>
        <w:t>СОБА 1</w:t>
      </w:r>
      <w:r w:rsidR="002D53D4">
        <w:rPr>
          <w:rFonts w:ascii="Times New Roman" w:eastAsia="Calibri" w:hAnsi="Times New Roman" w:cs="Times New Roman"/>
          <w:sz w:val="28"/>
          <w:szCs w:val="28"/>
          <w:lang w:val="uk-UA"/>
        </w:rPr>
        <w:t>;</w:t>
      </w:r>
      <w:r w:rsidRPr="004267F8">
        <w:rPr>
          <w:rFonts w:ascii="Times New Roman" w:eastAsia="Calibri" w:hAnsi="Times New Roman" w:cs="Times New Roman"/>
          <w:sz w:val="28"/>
          <w:szCs w:val="28"/>
          <w:lang w:val="uk-UA"/>
        </w:rPr>
        <w:t xml:space="preserve"> відповіді емітента активу – компанії </w:t>
      </w:r>
      <w:r w:rsidRPr="004267F8">
        <w:rPr>
          <w:rFonts w:ascii="Times New Roman" w:eastAsia="Calibri" w:hAnsi="Times New Roman" w:cs="Times New Roman"/>
          <w:sz w:val="28"/>
          <w:szCs w:val="28"/>
          <w:lang w:val="en-US"/>
        </w:rPr>
        <w:t>Tether</w:t>
      </w:r>
      <w:r w:rsidRPr="004267F8">
        <w:rPr>
          <w:rFonts w:ascii="Times New Roman" w:eastAsia="Calibri" w:hAnsi="Times New Roman" w:cs="Times New Roman"/>
          <w:sz w:val="28"/>
          <w:szCs w:val="28"/>
          <w:lang w:val="uk-UA"/>
        </w:rPr>
        <w:t xml:space="preserve"> на звернення </w:t>
      </w:r>
      <w:r w:rsidR="00790939">
        <w:rPr>
          <w:rFonts w:ascii="Times New Roman" w:eastAsia="Calibri" w:hAnsi="Times New Roman" w:cs="Times New Roman"/>
          <w:sz w:val="28"/>
          <w:szCs w:val="28"/>
          <w:lang w:val="uk-UA"/>
        </w:rPr>
        <w:t>ОСОБА 1</w:t>
      </w:r>
      <w:r w:rsidRPr="004267F8">
        <w:rPr>
          <w:rFonts w:ascii="Times New Roman" w:eastAsia="Calibri" w:hAnsi="Times New Roman" w:cs="Times New Roman"/>
          <w:sz w:val="28"/>
          <w:szCs w:val="28"/>
          <w:lang w:val="uk-UA"/>
        </w:rPr>
        <w:t>; супровідних листів Департаменту з питань звернень громадян та доступу до публічної інформації Офісу Президента України та Офісу Генерального прокурора про направлення звернення О</w:t>
      </w:r>
      <w:r w:rsidR="002D53D4">
        <w:rPr>
          <w:rFonts w:ascii="Times New Roman" w:eastAsia="Calibri" w:hAnsi="Times New Roman" w:cs="Times New Roman"/>
          <w:sz w:val="28"/>
          <w:szCs w:val="28"/>
          <w:lang w:val="uk-UA"/>
        </w:rPr>
        <w:t>СОБА 1</w:t>
      </w:r>
      <w:r w:rsidRPr="004267F8">
        <w:rPr>
          <w:rFonts w:ascii="Times New Roman" w:eastAsia="Calibri" w:hAnsi="Times New Roman" w:cs="Times New Roman"/>
          <w:sz w:val="28"/>
          <w:szCs w:val="28"/>
          <w:lang w:val="uk-UA"/>
        </w:rPr>
        <w:t xml:space="preserve"> для розгляду за належністю, а також листи, які надійшли на електронну пошту Комісії в якості доповнення до дисциплінарної скарги. </w:t>
      </w:r>
    </w:p>
    <w:p w:rsidR="004267F8" w:rsidRPr="004267F8" w:rsidRDefault="004267F8" w:rsidP="002D53D4">
      <w:pPr>
        <w:tabs>
          <w:tab w:val="left" w:pos="567"/>
        </w:tabs>
        <w:spacing w:after="100" w:afterAutospacing="1" w:line="240" w:lineRule="auto"/>
        <w:ind w:right="-285" w:firstLine="567"/>
        <w:jc w:val="both"/>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lastRenderedPageBreak/>
        <w:t>Джерела права, які підлягають застосуванню</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 № 1697-VII). </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Однією із засад діяльності прокуратури, визначеною у статті 3 Закону № 1697-VII,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bCs/>
          <w:sz w:val="28"/>
          <w:szCs w:val="28"/>
          <w:lang w:val="uk-UA"/>
        </w:rPr>
        <w:t xml:space="preserve">Частиною першою статті 43 </w:t>
      </w:r>
      <w:r w:rsidRPr="004267F8">
        <w:rPr>
          <w:rFonts w:ascii="Times New Roman" w:eastAsia="Calibri" w:hAnsi="Times New Roman" w:cs="Times New Roman"/>
          <w:sz w:val="28"/>
          <w:szCs w:val="28"/>
          <w:lang w:val="uk-UA"/>
        </w:rPr>
        <w:t xml:space="preserve">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w:t>
      </w:r>
      <w:r w:rsidRPr="004267F8">
        <w:rPr>
          <w:rFonts w:ascii="Times New Roman" w:eastAsia="Calibri" w:hAnsi="Times New Roman" w:cs="Times New Roman"/>
          <w:sz w:val="28"/>
          <w:szCs w:val="28"/>
          <w:lang w:val="uk-UA"/>
        </w:rPr>
        <w:lastRenderedPageBreak/>
        <w:t>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2) дисциплінарна скарга є анонімною;</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4267F8">
          <w:rPr>
            <w:rFonts w:ascii="Times New Roman" w:eastAsia="Calibri" w:hAnsi="Times New Roman" w:cs="Times New Roman"/>
            <w:sz w:val="28"/>
            <w:szCs w:val="28"/>
            <w:lang w:val="uk-UA"/>
          </w:rPr>
          <w:t>статтею 43</w:t>
        </w:r>
      </w:hyperlink>
      <w:r w:rsidRPr="004267F8">
        <w:rPr>
          <w:rFonts w:ascii="Times New Roman" w:eastAsia="Calibri" w:hAnsi="Times New Roman" w:cs="Times New Roman"/>
          <w:sz w:val="28"/>
          <w:szCs w:val="28"/>
          <w:lang w:val="uk-UA"/>
        </w:rPr>
        <w:t> цього Закону;</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4267F8">
          <w:rPr>
            <w:rFonts w:ascii="Times New Roman" w:eastAsia="Calibri" w:hAnsi="Times New Roman" w:cs="Times New Roman"/>
            <w:sz w:val="28"/>
            <w:szCs w:val="28"/>
            <w:lang w:val="uk-UA"/>
          </w:rPr>
          <w:t> статтею 51</w:t>
        </w:r>
      </w:hyperlink>
      <w:r w:rsidRPr="004267F8">
        <w:rPr>
          <w:rFonts w:ascii="Times New Roman" w:eastAsia="Calibri" w:hAnsi="Times New Roman" w:cs="Times New Roman"/>
          <w:sz w:val="28"/>
          <w:szCs w:val="28"/>
          <w:lang w:val="uk-UA"/>
        </w:rPr>
        <w:t> цього Закону;</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4267F8">
        <w:rPr>
          <w:rFonts w:ascii="Times New Roman" w:eastAsia="Calibri" w:hAnsi="Times New Roman" w:cs="Times New Roman"/>
          <w:sz w:val="28"/>
          <w:szCs w:val="28"/>
          <w:lang w:val="uk-UA"/>
        </w:rPr>
        <w:t>причиновий</w:t>
      </w:r>
      <w:proofErr w:type="spellEnd"/>
      <w:r w:rsidRPr="004267F8">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4267F8" w:rsidRPr="004267F8" w:rsidRDefault="004267F8" w:rsidP="002D53D4">
      <w:pPr>
        <w:widowControl w:val="0"/>
        <w:shd w:val="clear" w:color="auto" w:fill="FFFFFF"/>
        <w:tabs>
          <w:tab w:val="left" w:pos="993"/>
        </w:tabs>
        <w:spacing w:after="0" w:line="240" w:lineRule="auto"/>
        <w:ind w:right="-285" w:firstLine="567"/>
        <w:contextualSpacing/>
        <w:jc w:val="both"/>
        <w:rPr>
          <w:rFonts w:ascii="Times New Roman" w:eastAsia="Times New Roman" w:hAnsi="Times New Roman" w:cs="Times New Roman"/>
          <w:b/>
          <w:sz w:val="28"/>
          <w:szCs w:val="28"/>
          <w:lang w:val="uk-UA" w:eastAsia="ru-RU"/>
        </w:rPr>
      </w:pPr>
    </w:p>
    <w:p w:rsidR="004267F8" w:rsidRPr="004267F8" w:rsidRDefault="004267F8" w:rsidP="002D53D4">
      <w:pPr>
        <w:spacing w:after="100" w:afterAutospacing="1" w:line="240" w:lineRule="auto"/>
        <w:ind w:right="-285" w:firstLine="567"/>
        <w:jc w:val="both"/>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t>Оцінка встановлених обставин та мотиви прийнятого рішення</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lastRenderedPageBreak/>
        <w:t>Правові засади організації і діяльності прокуратури України, статус прокурорів, загальні права і обов’язки прокурора визначено Законом.</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4267F8" w:rsidRPr="004267F8" w:rsidRDefault="004267F8" w:rsidP="002D53D4">
      <w:pPr>
        <w:widowControl w:val="0"/>
        <w:tabs>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Дисциплінарна скарга О</w:t>
      </w:r>
      <w:r w:rsidR="002D53D4">
        <w:rPr>
          <w:rFonts w:ascii="Times New Roman" w:eastAsia="Calibri" w:hAnsi="Times New Roman" w:cs="Times New Roman"/>
          <w:sz w:val="28"/>
          <w:szCs w:val="28"/>
          <w:lang w:val="uk-UA"/>
        </w:rPr>
        <w:t>СОБА 1</w:t>
      </w:r>
      <w:r w:rsidRPr="004267F8">
        <w:rPr>
          <w:rFonts w:ascii="Times New Roman" w:eastAsia="Calibri" w:hAnsi="Times New Roman" w:cs="Times New Roman"/>
          <w:sz w:val="28"/>
          <w:szCs w:val="28"/>
          <w:lang w:val="uk-UA"/>
        </w:rPr>
        <w:t xml:space="preserve"> стосується рішень, дій та бездіяльності прокурора, вчинених (допущених) в межах кримінального процесу.</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Скаржником вказується про неналежне виконання прокурором Столярчуком С.О. службових обов’язків під час здійснення процесуального керівництва досудовим розслідуванням у кримінальному провадженні № </w:t>
      </w:r>
      <w:r w:rsidR="002D53D4">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зловживання правами процесуального керівника у цьому кримінальному провадженні шляхом ініціювання повторного подання клопотання про арешт майна О</w:t>
      </w:r>
      <w:r w:rsidR="002D53D4">
        <w:rPr>
          <w:rFonts w:ascii="Times New Roman" w:eastAsia="Calibri" w:hAnsi="Times New Roman" w:cs="Times New Roman"/>
          <w:sz w:val="28"/>
          <w:szCs w:val="28"/>
          <w:lang w:val="uk-UA"/>
        </w:rPr>
        <w:t>СОБА 1</w:t>
      </w:r>
      <w:r w:rsidRPr="004267F8">
        <w:rPr>
          <w:rFonts w:ascii="Times New Roman" w:eastAsia="Calibri" w:hAnsi="Times New Roman" w:cs="Times New Roman"/>
          <w:sz w:val="28"/>
          <w:szCs w:val="28"/>
          <w:lang w:val="uk-UA"/>
        </w:rPr>
        <w:t xml:space="preserve"> за відсутності підстав для арешту майна, перешкоджання виконанню судового рішення про скасування накладеного арешту на майно та сприяння подальшому незаконному утриманню майна.</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Скаржником не надано документального підтвердження оскарження дій зазначеного прокурора у встановленому статтями 303-308 КПК України порядку чи прокурору вищого рівня.</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Зі змісту скарги вбачається, що під час проведення досудового розслідування у кримінальному провадженні № </w:t>
      </w:r>
      <w:r w:rsidR="002D53D4">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xml:space="preserve">, </w:t>
      </w:r>
      <w:r w:rsidRPr="004267F8">
        <w:rPr>
          <w:rFonts w:ascii="Times New Roman" w:eastAsia="Calibri" w:hAnsi="Times New Roman" w:cs="Times New Roman"/>
          <w:sz w:val="28"/>
          <w:szCs w:val="28"/>
          <w:lang w:val="uk-UA"/>
        </w:rPr>
        <w:lastRenderedPageBreak/>
        <w:t xml:space="preserve">постановою від 14.11.2024 старшого слідчого СУ ГУНП у м. Києві </w:t>
      </w:r>
      <w:r w:rsidR="002D53D4">
        <w:rPr>
          <w:rFonts w:ascii="Times New Roman" w:eastAsia="Calibri" w:hAnsi="Times New Roman" w:cs="Times New Roman"/>
          <w:sz w:val="28"/>
          <w:szCs w:val="28"/>
          <w:lang w:val="uk-UA"/>
        </w:rPr>
        <w:t>ОСОБА 4</w:t>
      </w:r>
      <w:r w:rsidRPr="004267F8">
        <w:rPr>
          <w:rFonts w:ascii="Times New Roman" w:eastAsia="Calibri" w:hAnsi="Times New Roman" w:cs="Times New Roman"/>
          <w:sz w:val="28"/>
          <w:szCs w:val="28"/>
          <w:lang w:val="uk-UA"/>
        </w:rPr>
        <w:t xml:space="preserve">, крипто активи що зберігаються на крипто валютному гаманці </w:t>
      </w:r>
      <w:r w:rsidR="002D53D4">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визнано речовими доказами в даному кримінальному провадженні. Отже, відомості про можливе безпідставне неповернення майна за рішенням суду стосуються дій чи бездіяльності органу досудового розслідування.</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Дисциплінарна скарга та додатки до неї не містять документів із яких можливо встановити, що дії або бездіяльність саме прокурора Столярчука С.О.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Так, згідно з ухвалою слідчого судді Голосіївського районного суду міста Києва від 14.03.2025 за результатами розгляду поданого в межах кримінального провадження № </w:t>
      </w:r>
      <w:r w:rsidR="002D53D4">
        <w:rPr>
          <w:rFonts w:ascii="Times New Roman" w:eastAsia="Calibri" w:hAnsi="Times New Roman" w:cs="Times New Roman"/>
          <w:sz w:val="28"/>
          <w:szCs w:val="28"/>
          <w:lang w:val="uk-UA"/>
        </w:rPr>
        <w:t>(конфіденційна інформація)</w:t>
      </w:r>
      <w:r w:rsidRPr="004267F8">
        <w:rPr>
          <w:rFonts w:ascii="Times New Roman" w:eastAsia="Calibri" w:hAnsi="Times New Roman" w:cs="Times New Roman"/>
          <w:sz w:val="28"/>
          <w:szCs w:val="28"/>
          <w:lang w:val="uk-UA"/>
        </w:rPr>
        <w:t xml:space="preserve"> клопотання адвоката </w:t>
      </w:r>
      <w:r w:rsidR="002D53D4">
        <w:rPr>
          <w:rFonts w:ascii="Times New Roman" w:eastAsia="Calibri" w:hAnsi="Times New Roman" w:cs="Times New Roman"/>
          <w:sz w:val="28"/>
          <w:szCs w:val="28"/>
          <w:lang w:val="uk-UA"/>
        </w:rPr>
        <w:t>ОСОБА 3</w:t>
      </w:r>
      <w:r w:rsidRPr="004267F8">
        <w:rPr>
          <w:rFonts w:ascii="Times New Roman" w:eastAsia="Calibri" w:hAnsi="Times New Roman" w:cs="Times New Roman"/>
          <w:sz w:val="28"/>
          <w:szCs w:val="28"/>
          <w:lang w:val="uk-UA"/>
        </w:rPr>
        <w:t xml:space="preserve"> в інтересах власника майна – </w:t>
      </w:r>
      <w:r w:rsidR="002D53D4">
        <w:rPr>
          <w:rFonts w:ascii="Times New Roman" w:eastAsia="Calibri" w:hAnsi="Times New Roman" w:cs="Times New Roman"/>
          <w:sz w:val="28"/>
          <w:szCs w:val="28"/>
          <w:lang w:val="uk-UA"/>
        </w:rPr>
        <w:t>ОСОБА 1</w:t>
      </w:r>
      <w:r w:rsidRPr="004267F8">
        <w:rPr>
          <w:rFonts w:ascii="Times New Roman" w:eastAsia="Calibri" w:hAnsi="Times New Roman" w:cs="Times New Roman"/>
          <w:sz w:val="28"/>
          <w:szCs w:val="28"/>
          <w:lang w:val="uk-UA"/>
        </w:rPr>
        <w:t>, скасовано накладений ухвалою слідчого судді Голосіївського районного суду міста Києва від 15.11.2024 арешт на крипто активи</w:t>
      </w:r>
      <w:r w:rsidR="002D53D4">
        <w:rPr>
          <w:rFonts w:ascii="Times New Roman" w:eastAsia="Calibri" w:hAnsi="Times New Roman" w:cs="Times New Roman"/>
          <w:sz w:val="28"/>
          <w:szCs w:val="28"/>
          <w:lang w:val="uk-UA"/>
        </w:rPr>
        <w:t xml:space="preserve"> (конфіденційна інформація)</w:t>
      </w:r>
      <w:r w:rsidRPr="004267F8">
        <w:rPr>
          <w:rFonts w:ascii="Times New Roman" w:eastAsia="Calibri" w:hAnsi="Times New Roman" w:cs="Times New Roman"/>
          <w:sz w:val="28"/>
          <w:szCs w:val="28"/>
          <w:lang w:val="uk-UA"/>
        </w:rPr>
        <w:t>, із забороною користування, розпорядження чи відчуження.</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Зазначеною ухвалою не визначено на кого саме покладено її виконання.</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Крім того, відповідно до статті 129-1 Конституції України контроль за виконанням судового рішення здійснює суд, а статтею 382 КК України передбачена кримінальна відповідальність за умисне невиконання судового рішення.</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Доводи скаржника щодо допущених Столярчуком С.О. порушень вимог законодавства мають загально-формальний характер та зведені до тлумачення норм законодавства, судових рішень з посиланням на власну оцінку обставин справи.</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З урахуванням викладеного, дисциплінарна скарга не містить конкретних відомостей про невиконання або неналежне виконання Столярчуком С.О. службових обов’язків. </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Pr="004267F8">
        <w:rPr>
          <w:rFonts w:ascii="Times New Roman" w:eastAsia="Calibri" w:hAnsi="Times New Roman" w:cs="Times New Roman"/>
          <w:sz w:val="28"/>
          <w:szCs w:val="28"/>
        </w:rPr>
        <w:t xml:space="preserve"> </w:t>
      </w:r>
      <w:r w:rsidRPr="004267F8">
        <w:rPr>
          <w:rFonts w:ascii="Times New Roman" w:eastAsia="Calibri" w:hAnsi="Times New Roman" w:cs="Times New Roman"/>
          <w:sz w:val="28"/>
          <w:szCs w:val="28"/>
          <w:lang w:val="uk-UA"/>
        </w:rPr>
        <w:t>№ 9901/565/18).</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4267F8">
        <w:rPr>
          <w:rFonts w:ascii="Times New Roman" w:eastAsia="Calibri" w:hAnsi="Times New Roman" w:cs="Times New Roman"/>
          <w:sz w:val="28"/>
          <w:szCs w:val="28"/>
          <w:lang w:val="uk-UA"/>
        </w:rPr>
        <w:lastRenderedPageBreak/>
        <w:t>прокуратури та наявності або відсутності в їх діях складу дисциплінарного проступку.</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Незгода особи із рішеннями (діями) прокурорів не може автоматично мати наслідком їх дисциплінарну відповідальність. </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Із наведених скаржником доводів не вбачається, що Столярчуком С.О. умисно чи внаслідок недбалості допущено порушення норм законодавства.</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Столярчуком С.О., оскільки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4267F8" w:rsidRPr="004267F8" w:rsidRDefault="004267F8" w:rsidP="002D53D4">
      <w:pPr>
        <w:spacing w:after="0" w:line="240" w:lineRule="auto"/>
        <w:ind w:right="-285" w:firstLine="567"/>
        <w:jc w:val="both"/>
        <w:rPr>
          <w:rFonts w:ascii="Times New Roman" w:hAnsi="Times New Roman" w:cs="Times New Roman"/>
          <w:bCs/>
          <w:sz w:val="28"/>
          <w:szCs w:val="28"/>
          <w:shd w:val="clear" w:color="auto" w:fill="FFFFFF"/>
          <w:lang w:val="uk-UA"/>
        </w:rPr>
      </w:pPr>
      <w:r w:rsidRPr="004267F8">
        <w:rPr>
          <w:rFonts w:ascii="Times New Roman" w:hAnsi="Times New Roman" w:cs="Times New Roman"/>
          <w:bCs/>
          <w:sz w:val="28"/>
          <w:szCs w:val="28"/>
          <w:shd w:val="clear" w:color="auto" w:fill="FFFFFF"/>
          <w:lang w:val="uk-UA"/>
        </w:rPr>
        <w:t>Інші мотиви та аргументи скаржника зводяться до тлумачення норм законодавства з посиланням на власну оцінку обставин справи.</w:t>
      </w:r>
    </w:p>
    <w:p w:rsidR="004267F8" w:rsidRPr="004267F8" w:rsidRDefault="004267F8" w:rsidP="002D53D4">
      <w:pPr>
        <w:spacing w:after="0" w:line="240" w:lineRule="auto"/>
        <w:ind w:right="-285" w:firstLine="567"/>
        <w:jc w:val="both"/>
        <w:rPr>
          <w:rFonts w:ascii="Times New Roman" w:hAnsi="Times New Roman" w:cs="Times New Roman"/>
          <w:sz w:val="28"/>
          <w:szCs w:val="28"/>
          <w:shd w:val="clear" w:color="auto" w:fill="FFFFFF"/>
          <w:lang w:val="uk-UA"/>
        </w:rPr>
      </w:pPr>
      <w:r w:rsidRPr="004267F8">
        <w:rPr>
          <w:rFonts w:ascii="Times New Roman" w:hAnsi="Times New Roman" w:cs="Times New Roman"/>
          <w:bCs/>
          <w:sz w:val="28"/>
          <w:szCs w:val="28"/>
          <w:shd w:val="clear" w:color="auto" w:fill="FFFFFF"/>
          <w:lang w:val="uk-UA"/>
        </w:rPr>
        <w:t xml:space="preserve">Відповідно до вимог пункту 62 Положення </w:t>
      </w:r>
      <w:r w:rsidRPr="004267F8">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sidRPr="004267F8">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4267F8" w:rsidRPr="004267F8" w:rsidRDefault="004267F8" w:rsidP="002D53D4">
      <w:pPr>
        <w:spacing w:after="0" w:line="240" w:lineRule="auto"/>
        <w:ind w:right="-285" w:firstLine="567"/>
        <w:jc w:val="both"/>
        <w:rPr>
          <w:rFonts w:ascii="Times New Roman" w:eastAsia="Calibri" w:hAnsi="Times New Roman" w:cs="Times New Roman"/>
          <w:sz w:val="28"/>
          <w:szCs w:val="28"/>
          <w:lang w:val="uk-UA"/>
        </w:rPr>
      </w:pPr>
      <w:r w:rsidRPr="004267F8">
        <w:rPr>
          <w:rFonts w:ascii="Times New Roman" w:eastAsia="Calibri" w:hAnsi="Times New Roman" w:cs="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в діях прокурора Столярчука С.О., які можуть бути підставою для дисциплінарної відповідальності, тому приходжу до висновку про необхідність відмови у </w:t>
      </w:r>
      <w:r w:rsidRPr="004267F8">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4267F8" w:rsidRPr="004267F8" w:rsidRDefault="004267F8" w:rsidP="002D53D4">
      <w:pPr>
        <w:widowControl w:val="0"/>
        <w:tabs>
          <w:tab w:val="left" w:pos="993"/>
        </w:tabs>
        <w:spacing w:after="100" w:afterAutospacing="1"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4267F8" w:rsidRPr="004267F8" w:rsidRDefault="004267F8" w:rsidP="002D53D4">
      <w:pPr>
        <w:widowControl w:val="0"/>
        <w:tabs>
          <w:tab w:val="left" w:pos="993"/>
        </w:tabs>
        <w:spacing w:after="100" w:afterAutospacing="1" w:line="240" w:lineRule="auto"/>
        <w:ind w:right="-285" w:firstLine="567"/>
        <w:contextualSpacing/>
        <w:jc w:val="both"/>
        <w:rPr>
          <w:rFonts w:ascii="Times New Roman" w:eastAsia="Calibri" w:hAnsi="Times New Roman" w:cs="Times New Roman"/>
          <w:sz w:val="16"/>
          <w:szCs w:val="16"/>
          <w:lang w:val="uk-UA"/>
        </w:rPr>
      </w:pPr>
    </w:p>
    <w:p w:rsidR="004267F8" w:rsidRPr="004267F8" w:rsidRDefault="004267F8" w:rsidP="002D53D4">
      <w:pPr>
        <w:widowControl w:val="0"/>
        <w:tabs>
          <w:tab w:val="left" w:pos="851"/>
          <w:tab w:val="left" w:pos="993"/>
        </w:tabs>
        <w:spacing w:after="0" w:line="240" w:lineRule="auto"/>
        <w:ind w:right="-285"/>
        <w:contextualSpacing/>
        <w:jc w:val="center"/>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t>В И Р І Ш И Л А:</w:t>
      </w:r>
    </w:p>
    <w:p w:rsidR="004267F8" w:rsidRPr="004267F8" w:rsidRDefault="004267F8" w:rsidP="002D53D4">
      <w:pPr>
        <w:widowControl w:val="0"/>
        <w:tabs>
          <w:tab w:val="left" w:pos="851"/>
          <w:tab w:val="left" w:pos="993"/>
        </w:tabs>
        <w:spacing w:after="0" w:line="240" w:lineRule="auto"/>
        <w:ind w:right="-285" w:firstLine="709"/>
        <w:contextualSpacing/>
        <w:jc w:val="center"/>
        <w:rPr>
          <w:rFonts w:ascii="Times New Roman" w:eastAsia="Calibri" w:hAnsi="Times New Roman" w:cs="Times New Roman"/>
          <w:b/>
          <w:sz w:val="28"/>
          <w:szCs w:val="28"/>
          <w:lang w:val="uk-UA"/>
        </w:rPr>
      </w:pP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Столярчука С.О. </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16"/>
          <w:szCs w:val="16"/>
          <w:lang w:val="uk-UA"/>
        </w:rPr>
      </w:pP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r w:rsidRPr="004267F8">
        <w:rPr>
          <w:rFonts w:ascii="Times New Roman" w:eastAsia="Calibri" w:hAnsi="Times New Roman" w:cs="Times New Roman"/>
          <w:sz w:val="28"/>
          <w:szCs w:val="28"/>
          <w:lang w:val="uk-UA"/>
        </w:rPr>
        <w:t>Рішення направити скаржнику та прокурору.</w:t>
      </w:r>
    </w:p>
    <w:p w:rsidR="004267F8" w:rsidRPr="004267F8" w:rsidRDefault="004267F8" w:rsidP="002D53D4">
      <w:pPr>
        <w:widowControl w:val="0"/>
        <w:tabs>
          <w:tab w:val="left" w:pos="851"/>
          <w:tab w:val="left" w:pos="993"/>
        </w:tabs>
        <w:spacing w:after="0" w:line="240" w:lineRule="auto"/>
        <w:ind w:right="-285" w:firstLine="567"/>
        <w:contextualSpacing/>
        <w:jc w:val="both"/>
        <w:rPr>
          <w:rFonts w:ascii="Times New Roman" w:eastAsia="Calibri" w:hAnsi="Times New Roman" w:cs="Times New Roman"/>
          <w:sz w:val="28"/>
          <w:szCs w:val="28"/>
          <w:lang w:val="uk-UA"/>
        </w:rPr>
      </w:pPr>
    </w:p>
    <w:p w:rsidR="004267F8" w:rsidRPr="004267F8" w:rsidRDefault="004267F8" w:rsidP="002D53D4">
      <w:pPr>
        <w:widowControl w:val="0"/>
        <w:tabs>
          <w:tab w:val="left" w:pos="851"/>
        </w:tabs>
        <w:spacing w:after="0" w:line="240" w:lineRule="auto"/>
        <w:ind w:right="-285"/>
        <w:contextualSpacing/>
        <w:jc w:val="both"/>
        <w:rPr>
          <w:rFonts w:ascii="Times New Roman" w:eastAsia="Calibri" w:hAnsi="Times New Roman" w:cs="Times New Roman"/>
          <w:b/>
          <w:sz w:val="28"/>
          <w:szCs w:val="28"/>
          <w:lang w:val="uk-UA"/>
        </w:rPr>
      </w:pPr>
      <w:r w:rsidRPr="004267F8">
        <w:rPr>
          <w:rFonts w:ascii="Times New Roman" w:eastAsia="Calibri" w:hAnsi="Times New Roman" w:cs="Times New Roman"/>
          <w:b/>
          <w:sz w:val="28"/>
          <w:szCs w:val="28"/>
          <w:lang w:val="uk-UA"/>
        </w:rPr>
        <w:t>Член Кваліфікаційно-дисциплінарної</w:t>
      </w:r>
    </w:p>
    <w:p w:rsidR="00D43E22" w:rsidRDefault="004267F8" w:rsidP="002D53D4">
      <w:pPr>
        <w:widowControl w:val="0"/>
        <w:tabs>
          <w:tab w:val="left" w:pos="851"/>
        </w:tabs>
        <w:spacing w:after="0" w:line="240" w:lineRule="auto"/>
        <w:ind w:right="-285"/>
        <w:contextualSpacing/>
        <w:jc w:val="both"/>
      </w:pPr>
      <w:r w:rsidRPr="004267F8">
        <w:rPr>
          <w:rFonts w:ascii="Times New Roman" w:eastAsia="Calibri" w:hAnsi="Times New Roman" w:cs="Times New Roman"/>
          <w:b/>
          <w:sz w:val="28"/>
          <w:szCs w:val="28"/>
          <w:lang w:val="uk-UA"/>
        </w:rPr>
        <w:t>комісії прокурорів                                                                        Ніна ГАРБУЗА</w:t>
      </w:r>
    </w:p>
    <w:sectPr w:rsidR="00D43E22" w:rsidSect="00EB0D8C">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8EB" w:rsidRDefault="00FC78EB">
      <w:pPr>
        <w:spacing w:after="0" w:line="240" w:lineRule="auto"/>
      </w:pPr>
      <w:r>
        <w:separator/>
      </w:r>
    </w:p>
  </w:endnote>
  <w:endnote w:type="continuationSeparator" w:id="0">
    <w:p w:rsidR="00FC78EB" w:rsidRDefault="00FC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8EB" w:rsidRDefault="00FC78EB">
      <w:pPr>
        <w:spacing w:after="0" w:line="240" w:lineRule="auto"/>
      </w:pPr>
      <w:r>
        <w:separator/>
      </w:r>
    </w:p>
  </w:footnote>
  <w:footnote w:type="continuationSeparator" w:id="0">
    <w:p w:rsidR="00FC78EB" w:rsidRDefault="00FC7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18237"/>
      <w:docPartObj>
        <w:docPartGallery w:val="Page Numbers (Top of Page)"/>
        <w:docPartUnique/>
      </w:docPartObj>
    </w:sdtPr>
    <w:sdtEndPr/>
    <w:sdtContent>
      <w:p w:rsidR="00410CB1" w:rsidRDefault="004267F8">
        <w:pPr>
          <w:pStyle w:val="a3"/>
          <w:jc w:val="center"/>
        </w:pPr>
        <w:r>
          <w:fldChar w:fldCharType="begin"/>
        </w:r>
        <w:r>
          <w:instrText>PAGE   \* MERGEFORMAT</w:instrText>
        </w:r>
        <w:r>
          <w:fldChar w:fldCharType="separate"/>
        </w:r>
        <w:r w:rsidR="00F91AC5">
          <w:rPr>
            <w:noProof/>
          </w:rPr>
          <w:t>2</w:t>
        </w:r>
        <w:r>
          <w:fldChar w:fldCharType="end"/>
        </w:r>
      </w:p>
    </w:sdtContent>
  </w:sdt>
  <w:p w:rsidR="00410CB1" w:rsidRDefault="00FC78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F8"/>
    <w:rsid w:val="002D53D4"/>
    <w:rsid w:val="004267F8"/>
    <w:rsid w:val="00790939"/>
    <w:rsid w:val="00D43E22"/>
    <w:rsid w:val="00ED73A5"/>
    <w:rsid w:val="00F91AC5"/>
    <w:rsid w:val="00FC7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21D8"/>
  <w15:chartTrackingRefBased/>
  <w15:docId w15:val="{79101F16-C1E5-4244-AB55-3703B626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7F8"/>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4267F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2759</Words>
  <Characters>15731</Characters>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2025-04-16T04:25:00Z</dcterms:created>
  <dcterms:modified xsi:type="dcterms:W3CDTF">2025-04-16T04:51:00Z</dcterms:modified>
</cp:coreProperties>
</file>