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66" w:rsidRPr="00FD0666" w:rsidRDefault="00FD0666" w:rsidP="00FD066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FD0666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60581811" wp14:editId="2EA02E0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66" w:rsidRPr="00FD0666" w:rsidRDefault="00FD0666" w:rsidP="00FD066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:rsidR="00FD0666" w:rsidRPr="00FD0666" w:rsidRDefault="00FD0666" w:rsidP="00FD06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val="uk-UA" w:eastAsia="ru-RU"/>
        </w:rPr>
      </w:pPr>
      <w:r w:rsidRPr="00FD0666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FD0666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:rsidR="00FD0666" w:rsidRPr="00FD0666" w:rsidRDefault="00FD0666" w:rsidP="00FD0666">
      <w:pPr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uk-UA" w:eastAsia="uk-UA"/>
        </w:rPr>
      </w:pPr>
    </w:p>
    <w:p w:rsidR="00FD0666" w:rsidRPr="00FD0666" w:rsidRDefault="00FD0666" w:rsidP="00FD0666">
      <w:pPr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uk-UA" w:eastAsia="uk-UA"/>
        </w:rPr>
      </w:pPr>
    </w:p>
    <w:p w:rsidR="00FD0666" w:rsidRPr="00FD0666" w:rsidRDefault="00FD0666" w:rsidP="00F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FD066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FD066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FD0666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FD0666" w:rsidRPr="00FD0666" w:rsidRDefault="00FD0666" w:rsidP="00FD0666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FD0666" w:rsidRPr="00FD0666" w:rsidTr="003A3962">
        <w:trPr>
          <w:trHeight w:val="460"/>
        </w:trPr>
        <w:tc>
          <w:tcPr>
            <w:tcW w:w="1765" w:type="pct"/>
            <w:hideMark/>
          </w:tcPr>
          <w:p w:rsidR="00FD0666" w:rsidRPr="00FD0666" w:rsidRDefault="00FD0666" w:rsidP="00FD0666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FD066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17 липня 2025 року</w:t>
            </w:r>
          </w:p>
        </w:tc>
        <w:tc>
          <w:tcPr>
            <w:tcW w:w="1471" w:type="pct"/>
            <w:hideMark/>
          </w:tcPr>
          <w:p w:rsidR="00FD0666" w:rsidRPr="00FD0666" w:rsidRDefault="00FD0666" w:rsidP="00FD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FD066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Київ</w:t>
            </w:r>
          </w:p>
        </w:tc>
        <w:tc>
          <w:tcPr>
            <w:tcW w:w="1764" w:type="pct"/>
            <w:hideMark/>
          </w:tcPr>
          <w:p w:rsidR="00FD0666" w:rsidRPr="00FD0666" w:rsidRDefault="00FD0666" w:rsidP="00FD066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FD066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            № 508дс-25 </w:t>
            </w:r>
          </w:p>
        </w:tc>
      </w:tr>
    </w:tbl>
    <w:p w:rsidR="00FD0666" w:rsidRPr="00FD0666" w:rsidRDefault="00FD0666" w:rsidP="00FD066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FD0666" w:rsidRPr="00FD0666" w:rsidRDefault="00FD0666" w:rsidP="00FD066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FD0666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FD0666" w:rsidRPr="00FD0666" w:rsidRDefault="00FD0666" w:rsidP="00FD066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FD0666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FD0666" w:rsidRPr="00FD0666" w:rsidRDefault="00FD0666" w:rsidP="00FD066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FD0666" w:rsidRPr="00FD0666" w:rsidRDefault="00FD0666" w:rsidP="00FD066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Гарбуза Н.В., розглянувши дисциплінарну </w:t>
      </w:r>
      <w:bookmarkStart w:id="0" w:name="_Hlk124933696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bookmarkEnd w:id="0"/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прокурора другого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(далі – прокурор,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В.А.),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FD0666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</w:t>
      </w:r>
      <w:r w:rsidRPr="00FD066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 xml:space="preserve">ом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Жиліним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 xml:space="preserve"> В.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А.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07.07.2025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мені.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вирішенні питання про відкриття дисциплінарного провадження, встановлено таке.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доводів скаржника прокурор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вчинив дисциплінарний проступок, передбачений пунктом 1 (невиконання чи неналежне виконання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службових обов’язків) частини першої статті 43 Закону України «Про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прокуратуру» від 14 жовтня 2014 року №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FD066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ІІ (далі – Закон №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VІІ) за таких обставин.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провадженні Московського районного суду м. Харкова перебуває кримінальне провадження за обвинуваченням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вчиненні кримінального правопорушення, передбаченого частиною третьою статті 307 КК України, у якому публічне обвинувачення підтримує прокурор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вважає, що прокурор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В.А. під час підтримання 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публічного обвинувачення неналежно виконує службові обов’язки, не з’явився в судові засідання 19.08.2020, 10.12.2020, 03.08.2023, 02.10.2023, 15.01.2024, 02.04.2025, 06.05.2025, 25.06.2025 документів, які б підтвердили поважність причин такої неявки не надав, що унеможливлює розгляд кримінального провадження в розумні строки та позбавляє скаржника законного права на доступ до правосуддя.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обґрунтування своїх думок скаржник наводить доводи з посиланням на інші обставини зазначених подій, надає оцінку дій прокурора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 та вважає, що в його діях вбачаються ознаки дисциплінарного проступку, тому просить притягнути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до дисциплінарної відповідальності.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долучено копії: витягів з журналів судових засідань; ухвали Московського районного суду м. Харкова від 02.04.2025 (справа №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про задоволення заяви обвинуваченого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відвід судді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 3 частини першої статті 2 Закону № 1697-VІІ). 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визначеною у статті 3 Закону № 1697-VІІ, є незалежність прокурорів. Зі змісту частини другої статті 16 Закону № 1697-VІІ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FD0666" w:rsidRPr="00FD0666" w:rsidRDefault="00FD0666" w:rsidP="00FD0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0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частини першої та другої статті 22 КПК </w:t>
      </w: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:rsidR="00FD0666" w:rsidRPr="00FD0666" w:rsidRDefault="00FD0666" w:rsidP="00FD06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Згідно з частиною другою статті 28 КПК України </w:t>
      </w: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проведення досудового розслідування у розумні строки забезпечує прокурор, слідчий суддя (в частині строків розгляду питань, віднесених до його компетенції), а судового провадження - суд.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змістом абзацу другого частини першої статті 45 Закону № 1697-VІІ,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осіб або вимог закону, таке рішення може бути підставою для дисциплінарного провадження.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Водночас, визначення дисциплінарного провадження наведено у частині першій статті 45 Закону № 1697-VІІ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№ 1697-VІІ визначено, що </w:t>
      </w:r>
      <w:bookmarkStart w:id="1" w:name="n417"/>
      <w:bookmarkEnd w:id="1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" w:name="n418"/>
      <w:bookmarkEnd w:id="2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n419"/>
      <w:bookmarkEnd w:id="3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n420"/>
      <w:bookmarkEnd w:id="4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n421"/>
      <w:bookmarkEnd w:id="5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7" w:name="n422"/>
      <w:bookmarkEnd w:id="7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n423"/>
      <w:bookmarkEnd w:id="8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9" w:name="n424"/>
      <w:bookmarkEnd w:id="9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n425"/>
      <w:bookmarkEnd w:id="10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n426"/>
      <w:bookmarkEnd w:id="11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Юридичну конструкцію статті 46 Закону № 1697-VІІ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2" w:name="n441"/>
      <w:bookmarkEnd w:id="12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3" w:name="n442"/>
      <w:bookmarkEnd w:id="13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5" w:anchor="n416" w:history="1">
        <w:r w:rsidRPr="00FD0666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4" w:name="n443"/>
      <w:bookmarkEnd w:id="14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6" w:anchor="n505" w:history="1">
        <w:r w:rsidRPr="00FD0666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  <w:bookmarkStart w:id="15" w:name="n1893"/>
      <w:bookmarkEnd w:id="15"/>
    </w:p>
    <w:p w:rsidR="00FD0666" w:rsidRPr="00FD0666" w:rsidRDefault="00FD0666" w:rsidP="00FD066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6" w:name="n444"/>
      <w:bookmarkEnd w:id="16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 скасовано в установленому законом порядку.</w:t>
      </w:r>
      <w:bookmarkStart w:id="17" w:name="n2545"/>
      <w:bookmarkEnd w:id="17"/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№ 1697-VІІ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будь-якому противоправному діянню, 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причиновий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FD06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324 КПК України, </w:t>
      </w: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Водночас,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Зі змісту вказаної норми вбачається, що однією з обов’язкових вимог для порушення питання про відповідальність прокурора є неповажність причини його неприбуття в судове засідання.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Частинами першою та дев’ятою статті 135 КПК України встановлено, що </w:t>
      </w: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особа викликається до слідчого, прокурора, слідчого судді, суду шляхом вручення повістки про виклик, надіслання її поштою, електронною поштою чи факсимільним зв'язком, здійснення виклику по телефону або телеграмою.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Особа має отримати повістку про виклик або бути повідомленою про нього іншим шляхом не пізніше ніж за три дні до дня, коли вона зобов’язана прибути за викликом. У випадку встановлення цим Кодексом строків здійснення процесуальних дій, які не дозволяють здійснити виклик у зазначений строк, особа має отримати повістку про виклик або бути повідомленою про нього </w:t>
      </w: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іншим шляхом якнайшвидше, але в будь-якому разі з наданням їй необхідного часу для підготовки та прибуття за викликом.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Вимогами статті 136 КПК України визначено належність підтвердження особою повістки про виклик та ознайомлення такої особи із її змістом.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вимог статті 138 КПК України серед поважних причин неприбуття на виклик, зокрема, передбачено: несвоєчасне одержання повістки про виклик; інші обставини, які об’єктивно унеможливлюють з’явлення особи на виклик.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частини другої статті 46 Закону №</w:t>
      </w:r>
      <w:r w:rsidR="008E7BF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 </w:t>
      </w:r>
      <w:bookmarkStart w:id="18" w:name="_GoBack"/>
      <w:bookmarkEnd w:id="18"/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1697-VII член Комісії своїм вмотивованим рішенням відмовляє у відкритті дисциплінарного провадження, якщо наявні підстави, визначені підпунктами 1-5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FD0666" w:rsidRPr="00FD0666" w:rsidRDefault="00FD0666" w:rsidP="00FD0666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0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06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стосується рішень, дій та бездіяльності прокурора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 В.А., вчинених (допущених) у межах кримінального процесу.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:rsidR="00FD0666" w:rsidRPr="00FD0666" w:rsidRDefault="00FD0666" w:rsidP="00FD066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Таким чином, Комісія не може надавати оцінку діянням прокурора (прокурорів) в межах кримінального процесу без відповідного рішення суду, яким встановлено порушення прокурором прав осіб чи вимог закону. 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hAnsi="Times New Roman"/>
          <w:sz w:val="28"/>
          <w:szCs w:val="28"/>
          <w:lang w:val="uk-UA"/>
        </w:rPr>
        <w:t xml:space="preserve">У дисциплінарній скарзі не наведено жодних конкретних доводів, які б вказували на можливе вчинення прокурором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В.А. </w:t>
      </w:r>
      <w:r w:rsidRPr="00FD0666">
        <w:rPr>
          <w:rFonts w:ascii="Times New Roman" w:hAnsi="Times New Roman"/>
          <w:sz w:val="28"/>
          <w:szCs w:val="28"/>
          <w:lang w:val="uk-UA"/>
        </w:rPr>
        <w:t>дисциплінарного проступку, як і не надано документального підтвердження оскарження його дій  у встановленому КПК України порядку та відповідних рішень суду, якими були б встановлені факти порушення ним прав осіб або вимог закону.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Згідно з усталеною судовою практикою у справах, що виникають з відносин публічної служби, </w:t>
      </w:r>
      <w:r w:rsidRPr="00FD06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</w:t>
      </w:r>
      <w:r w:rsidRPr="00FD0666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правил професійної етики, виконання прокурором посадових обов’язків, що тягне за собою настання негативних наслідків (рішення Касаційного адміністративного суду у складі Верховного суду від 12.07.2018 у справі № 9901/565/18).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hAnsi="Times New Roman"/>
          <w:sz w:val="28"/>
          <w:szCs w:val="28"/>
          <w:lang w:val="uk-UA"/>
        </w:rPr>
        <w:t xml:space="preserve">Зі змісту скарги вбачається, що скаржник фактично незгодний із правовою позицією прокурора </w:t>
      </w:r>
      <w:proofErr w:type="spellStart"/>
      <w:r w:rsidRPr="00FD0666">
        <w:rPr>
          <w:rFonts w:ascii="Times New Roman" w:hAnsi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hAnsi="Times New Roman"/>
          <w:sz w:val="28"/>
          <w:szCs w:val="28"/>
          <w:lang w:val="uk-UA"/>
        </w:rPr>
        <w:t xml:space="preserve"> В.А. у суді при розгляді його клопотань.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0666">
        <w:rPr>
          <w:rFonts w:ascii="Times New Roman" w:hAnsi="Times New Roman"/>
          <w:sz w:val="28"/>
          <w:szCs w:val="28"/>
          <w:lang w:val="uk-UA"/>
        </w:rPr>
        <w:t>Водночас позиція зазначеного прокурора у кримінальному провадженні є його процесуальним правом, що відображає змагальність сторін у кримінальному провадженні та самостійне обстоювання ними їхніх правових позицій.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0666">
        <w:rPr>
          <w:rFonts w:ascii="Times New Roman" w:hAnsi="Times New Roman"/>
          <w:sz w:val="28"/>
          <w:szCs w:val="28"/>
          <w:lang w:val="uk-UA"/>
        </w:rPr>
        <w:t>Вважаю за необхідне зазначити, що чинним законодавством визначено, що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кримінально процесуальним законодавством.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України, зокрема у частині оскарження рішень прокурора та суду.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hAnsi="Times New Roman"/>
          <w:sz w:val="28"/>
          <w:szCs w:val="28"/>
          <w:lang w:val="uk-UA"/>
        </w:rPr>
        <w:t>Також скаржником у дисциплінарній скарзі зазначено, що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  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В.А. у судові засідання Московського районного суду м.</w:t>
      </w:r>
      <w:r w:rsidR="008E7BF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Харкова, призначені на 19.08.2020, 10.12.2020, 03.08.2023, 02.10.2023, 15.01.2024, 02.04.2025, 06.05.2025, 25.06.2025, не прибув, причини неявки не повідомив, доказів поважності причин неявки не надав, у зв’язку з чим судовий розгляд неодноразово відкладено.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статті 324 КПК України вбачається, що обов’язковими умовами для порушення питання про відповідальність прокурора є: 1) ініціювання відповідальності прокурора спеціальним суб’єктом – судом; 2) встановлення судом неповажності причини неприбуття прокурора в судове засідання до звернення із дисциплінарною скаргою.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судових рішень, якими встановлено порушення прокурором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Жиліним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В.А. прав осіб чи вимог закону, а також якими прийнято рішення про визнання причин неявки прокурора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в судові засідання неповажними до дисциплінарної скарги не долучено та про їх прийняття не зазначено. 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скаржником не наведено та не надано конкретних відомостей про наявність ознак дисциплінарного проступку прокурора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 В.А. Незгода учасника кримінального провадження із рішеннями (діями) прокурора не може автоматично мати наслідком дисциплінарну відповідальність останнього.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дисциплінарній скарзі, без отримання необхідних відомостей від скаржника та ухвалювати рішення на підставі неперевірених обставин.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 вважаю, що дисциплінарна скарга наразі не містить конкретних відомостей про наявність ознак дисциплінарного проступку, 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вчиненого прокурором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Жиліним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</w:t>
      </w:r>
      <w:r w:rsidRPr="00FD066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.</w:t>
      </w:r>
    </w:p>
    <w:p w:rsidR="00FD0666" w:rsidRPr="00FD0666" w:rsidRDefault="00FD0666" w:rsidP="00FD066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України «Про прокуратуру», пунктами 28, 62, 98 Положення про порядок роботи відповідного органу, що здійснює дисциплінарне провадження, </w:t>
      </w:r>
    </w:p>
    <w:p w:rsidR="00FD0666" w:rsidRPr="00FD0666" w:rsidRDefault="00FD0666" w:rsidP="00FD066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Pr="00FD066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прокурора</w:t>
      </w: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другого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</w:t>
      </w:r>
      <w:proofErr w:type="spellStart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Копію рішення направити скаржнику та прокурору. </w:t>
      </w: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FD0666" w:rsidRPr="00FD0666" w:rsidRDefault="00FD0666" w:rsidP="00FD06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FD06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прокурорів                                                                        Ніна ГАРБУЗА</w:t>
      </w:r>
    </w:p>
    <w:p w:rsidR="00FD0666" w:rsidRPr="00FD0666" w:rsidRDefault="00FD0666" w:rsidP="00FD0666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FD0666" w:rsidRPr="00FD0666" w:rsidRDefault="00FD0666" w:rsidP="00FD0666"/>
    <w:p w:rsidR="001320DB" w:rsidRDefault="001320DB"/>
    <w:sectPr w:rsidR="001320DB" w:rsidSect="00E12E8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400552"/>
      <w:docPartObj>
        <w:docPartGallery w:val="Page Numbers (Top of Page)"/>
        <w:docPartUnique/>
      </w:docPartObj>
    </w:sdtPr>
    <w:sdtEndPr/>
    <w:sdtContent>
      <w:p w:rsidR="00385410" w:rsidRDefault="0099058B" w:rsidP="00FE45BA">
        <w:pPr>
          <w:pStyle w:val="a3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8E7BF2" w:rsidRPr="008E7BF2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66"/>
    <w:rsid w:val="001320DB"/>
    <w:rsid w:val="008E7BF2"/>
    <w:rsid w:val="0099058B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64D7"/>
  <w15:chartTrackingRefBased/>
  <w15:docId w15:val="{8124AD5F-39DC-4E5C-817E-50BD272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6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D0666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97-18" TargetMode="External"/><Relationship Id="rId5" Type="http://schemas.openxmlformats.org/officeDocument/2006/relationships/hyperlink" Target="https://zakon.rada.gov.ua/laws/show/1697-18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2529</Words>
  <Characters>14417</Characters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2025-07-17T09:53:00Z</dcterms:created>
  <dcterms:modified xsi:type="dcterms:W3CDTF">2025-07-17T10:03:00Z</dcterms:modified>
</cp:coreProperties>
</file>