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53260F" w:rsidRPr="00E04D05" w:rsidTr="003F1B6A">
        <w:tc>
          <w:tcPr>
            <w:tcW w:w="9962" w:type="dxa"/>
            <w:gridSpan w:val="3"/>
            <w:shd w:val="clear" w:color="auto" w:fill="auto"/>
          </w:tcPr>
          <w:p w:rsidR="0053260F" w:rsidRPr="002F4949" w:rsidRDefault="0053260F" w:rsidP="003F1B6A">
            <w:pPr>
              <w:tabs>
                <w:tab w:val="center" w:pos="0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 w:hanging="53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noProof/>
                <w:sz w:val="19"/>
                <w:szCs w:val="20"/>
                <w:lang w:eastAsia="ru-RU"/>
              </w:rPr>
              <w:drawing>
                <wp:inline distT="0" distB="0" distL="0" distR="0" wp14:anchorId="3486A433" wp14:editId="2C55F991">
                  <wp:extent cx="435600" cy="612000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60F" w:rsidRPr="002F4949" w:rsidRDefault="0053260F" w:rsidP="003F1B6A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0"/>
                <w:szCs w:val="20"/>
                <w:lang w:val="uk-UA" w:eastAsia="ru-RU"/>
              </w:rPr>
            </w:pPr>
          </w:p>
          <w:p w:rsidR="0053260F" w:rsidRPr="002F4949" w:rsidRDefault="0053260F" w:rsidP="003F1B6A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28"/>
                <w:sz w:val="32"/>
                <w:szCs w:val="32"/>
                <w:lang w:val="uk-UA" w:eastAsia="ru-RU"/>
              </w:rPr>
            </w:pP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t xml:space="preserve">КВАЛІФІКАЦІЙНО-ДИСЦИПЛІНАРНА </w:t>
            </w:r>
            <w:r w:rsidRPr="002F4949">
              <w:rPr>
                <w:rFonts w:ascii="Times New Roman" w:eastAsia="Times New Roman" w:hAnsi="Times New Roman" w:cs="Times New Roman"/>
                <w:bCs/>
                <w:kern w:val="28"/>
                <w:sz w:val="36"/>
                <w:szCs w:val="32"/>
                <w:lang w:val="uk-UA" w:eastAsia="ru-RU"/>
              </w:rPr>
              <w:br/>
              <w:t>КОМІСІЯ ПРОКУРОРІВ</w:t>
            </w:r>
          </w:p>
          <w:p w:rsidR="0053260F" w:rsidRPr="002F4949" w:rsidRDefault="0053260F" w:rsidP="003F1B6A">
            <w:pPr>
              <w:spacing w:after="0" w:line="240" w:lineRule="auto"/>
              <w:ind w:left="84" w:right="-284"/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uk-UA"/>
              </w:rPr>
            </w:pPr>
          </w:p>
          <w:p w:rsidR="0053260F" w:rsidRPr="00E04D05" w:rsidRDefault="0053260F" w:rsidP="003F1B6A">
            <w:pPr>
              <w:spacing w:after="0" w:line="240" w:lineRule="auto"/>
              <w:ind w:left="84" w:right="-284" w:hanging="3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Р І Ш Е Н </w:t>
            </w:r>
            <w:proofErr w:type="spellStart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>Н</w:t>
            </w:r>
            <w:proofErr w:type="spellEnd"/>
            <w:r w:rsidRPr="002F4949">
              <w:rPr>
                <w:rFonts w:ascii="Times New Roman" w:eastAsia="Times New Roman" w:hAnsi="Times New Roman" w:cs="Times New Roman"/>
                <w:b/>
                <w:kern w:val="28"/>
                <w:sz w:val="28"/>
                <w:szCs w:val="28"/>
                <w:lang w:val="uk-UA" w:eastAsia="uk-UA"/>
              </w:rPr>
              <w:t xml:space="preserve"> Я</w:t>
            </w:r>
          </w:p>
        </w:tc>
      </w:tr>
      <w:tr w:rsidR="0053260F" w:rsidRPr="00E04D05" w:rsidTr="003F1B6A">
        <w:tc>
          <w:tcPr>
            <w:tcW w:w="3400" w:type="dxa"/>
            <w:shd w:val="clear" w:color="auto" w:fill="auto"/>
            <w:hideMark/>
          </w:tcPr>
          <w:p w:rsidR="0053260F" w:rsidRDefault="0053260F" w:rsidP="003F1B6A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53260F" w:rsidRPr="00E04D05" w:rsidRDefault="0053260F" w:rsidP="003F1B6A">
            <w:pPr>
              <w:spacing w:after="0" w:line="240" w:lineRule="auto"/>
              <w:ind w:left="-109"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 грудня</w:t>
            </w:r>
            <w:r w:rsidRPr="000A38A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53260F" w:rsidRDefault="0053260F" w:rsidP="003F1B6A">
            <w:pPr>
              <w:spacing w:after="0" w:line="240" w:lineRule="auto"/>
              <w:ind w:right="-284" w:hanging="38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:rsidR="0053260F" w:rsidRPr="00E04D05" w:rsidRDefault="0053260F" w:rsidP="003F1B6A">
            <w:pPr>
              <w:spacing w:after="0" w:line="240" w:lineRule="auto"/>
              <w:ind w:right="-284" w:hanging="67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:rsidR="0053260F" w:rsidRDefault="0053260F" w:rsidP="003F1B6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</w:p>
          <w:p w:rsidR="0053260F" w:rsidRPr="00E04D05" w:rsidRDefault="0053260F" w:rsidP="003F1B6A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F962E2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 1270</w:t>
            </w:r>
            <w:r w:rsidRPr="00E04D0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53260F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</w:p>
    <w:p w:rsidR="0053260F" w:rsidRPr="001E4CEF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53260F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Про відмову у відкритті</w:t>
      </w:r>
    </w:p>
    <w:p w:rsidR="0053260F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дисциплінарного провадження</w:t>
      </w:r>
    </w:p>
    <w:p w:rsidR="0053260F" w:rsidRPr="00D55ED6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53260F" w:rsidRPr="001E4CEF" w:rsidRDefault="0053260F" w:rsidP="0053260F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53260F" w:rsidRDefault="0053260F" w:rsidP="0053260F">
      <w:pPr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Член Кваліфікаційно-дисциплінарної комісії прокурорів Гарбуза Н.В., розглянувши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дисциплінарну скаргу </w:t>
      </w:r>
      <w:r w:rsidR="00F962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ОСОБА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стосовно прокурора 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окружної прокуратури Харківської області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Черкаса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О.О. (далі – прокурор,                 Черкас О.О.),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3260F" w:rsidRPr="00D55ED6" w:rsidRDefault="0053260F" w:rsidP="0053260F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16"/>
          <w:szCs w:val="16"/>
          <w:lang w:val="uk-UA" w:eastAsia="uk-UA"/>
        </w:rPr>
      </w:pPr>
    </w:p>
    <w:p w:rsidR="0053260F" w:rsidRDefault="0053260F" w:rsidP="0053260F">
      <w:pPr>
        <w:spacing w:after="0" w:line="240" w:lineRule="auto"/>
        <w:ind w:right="-284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t>В С Т А Н О В И Л А: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Кваліфікаційно-дисциплінарної комісії прокурорів (далі – Комісія),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надійшла дисциплінарна скарга </w:t>
      </w:r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скаржник) про вчинення дисциплінарного проступку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</w:p>
    <w:p w:rsidR="0053260F" w:rsidRPr="009C6064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C6064">
        <w:rPr>
          <w:rFonts w:ascii="Times New Roman" w:hAnsi="Times New Roman"/>
          <w:sz w:val="28"/>
          <w:szCs w:val="28"/>
          <w:lang w:val="uk-UA"/>
        </w:rPr>
        <w:t>Автоматизованою системою розподілу</w:t>
      </w:r>
      <w:r>
        <w:rPr>
          <w:rFonts w:ascii="Times New Roman" w:hAnsi="Times New Roman"/>
          <w:sz w:val="28"/>
          <w:szCs w:val="28"/>
          <w:lang w:val="uk-UA"/>
        </w:rPr>
        <w:t xml:space="preserve"> дисциплінарних скарг</w:t>
      </w:r>
      <w:r w:rsidRPr="009C6064">
        <w:rPr>
          <w:rFonts w:ascii="Times New Roman" w:hAnsi="Times New Roman"/>
          <w:sz w:val="28"/>
          <w:szCs w:val="28"/>
          <w:lang w:val="uk-UA"/>
        </w:rPr>
        <w:t xml:space="preserve"> для вирішення питання про відкриття дисциплінарного провадження дисциплінарну скаргу </w:t>
      </w:r>
      <w:proofErr w:type="spellStart"/>
      <w:r w:rsidRPr="009C6064">
        <w:rPr>
          <w:rFonts w:ascii="Times New Roman" w:hAnsi="Times New Roman"/>
          <w:sz w:val="28"/>
          <w:szCs w:val="28"/>
          <w:lang w:val="uk-UA"/>
        </w:rPr>
        <w:t>розподілено</w:t>
      </w:r>
      <w:proofErr w:type="spellEnd"/>
      <w:r w:rsidRPr="009C6064">
        <w:rPr>
          <w:rFonts w:ascii="Times New Roman" w:hAnsi="Times New Roman"/>
          <w:sz w:val="28"/>
          <w:szCs w:val="28"/>
          <w:lang w:val="uk-UA"/>
        </w:rPr>
        <w:t xml:space="preserve"> мені</w:t>
      </w:r>
      <w:r>
        <w:rPr>
          <w:rFonts w:ascii="Times New Roman" w:hAnsi="Times New Roman"/>
          <w:sz w:val="28"/>
          <w:szCs w:val="28"/>
          <w:lang w:val="uk-UA"/>
        </w:rPr>
        <w:t xml:space="preserve"> (протокол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авторозподілу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18 грудня 2025 року)</w:t>
      </w:r>
      <w:r w:rsidRPr="009C606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3260F" w:rsidRPr="008A384F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При вирішенні питання щодо відкриття дисциплінарного провадження встановлено таке. </w:t>
      </w:r>
    </w:p>
    <w:p w:rsidR="0053260F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3260F" w:rsidRDefault="0053260F" w:rsidP="0053260F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Зміст скарги</w:t>
      </w:r>
    </w:p>
    <w:p w:rsidR="0053260F" w:rsidRPr="00D55ED6" w:rsidRDefault="0053260F" w:rsidP="0053260F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53260F" w:rsidRPr="00A74F22" w:rsidRDefault="0053260F" w:rsidP="0053260F">
      <w:pPr>
        <w:widowControl w:val="0"/>
        <w:tabs>
          <w:tab w:val="left" w:pos="567"/>
          <w:tab w:val="left" w:pos="851"/>
        </w:tabs>
        <w:spacing w:after="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Дисциплінарна скарга не відповідає рекомендованому зразку, водночас 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тексту можна вважати, що прокурор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Черкас О.О.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дисциплінарний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проступок, передбачений пункт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(невиконання чи неналежне виконання службових обов’язків)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5 (вчинення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 органів прокуратури) ч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>астини першої статті 43 Закону України «Про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A74F2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прокуратуру» </w:t>
      </w:r>
      <w:r w:rsidRPr="00F57A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14 жовтня 2014 року № 1697-VII (далі  – Закон № 1697-VII)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таких обставин.</w:t>
      </w:r>
    </w:p>
    <w:p w:rsidR="0053260F" w:rsidRDefault="0053260F" w:rsidP="0053260F">
      <w:pPr>
        <w:widowControl w:val="0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Прокурор Черкас О.О. здійснює процесуальне керівництво досудовим розслідуванням та підтримання публічного обвинувачення у кримінальному провадженні № </w:t>
      </w:r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</w:t>
      </w:r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ОСОБА 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вчиненні кримінального правопорушення, передбаченого частиною третьою статті 307 КК України, що перебуває на розгляді Лозівського міськрайонного суду Харківської області.</w:t>
      </w:r>
    </w:p>
    <w:p w:rsidR="0053260F" w:rsidRDefault="0053260F" w:rsidP="0053260F">
      <w:pPr>
        <w:widowControl w:val="0"/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Скаржник вказує про неналежне, на його думку, виконання службових обов’язків та упередженість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О.О. під час здійснення процесуального керівництва досудовим розслідуванням у кримінальному провадженні, оскільки поза його увагою залишено підміну доказів про причетність </w:t>
      </w:r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ОСОБА 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вчинення кримінального правопорушення та погрози прокурора  в образливій формі «його посадити, якщо він не підтвердить, що торгував вилученим у нього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канабісом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».   </w:t>
      </w:r>
    </w:p>
    <w:p w:rsidR="0053260F" w:rsidRDefault="0053260F" w:rsidP="0053260F">
      <w:pPr>
        <w:widowControl w:val="0"/>
        <w:spacing w:after="12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Просить притягнути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 до дисциплінарної відповідальності.  </w:t>
      </w:r>
    </w:p>
    <w:p w:rsidR="0053260F" w:rsidRPr="00842412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53260F" w:rsidRDefault="0053260F" w:rsidP="0053260F">
      <w:pPr>
        <w:widowControl w:val="0"/>
        <w:tabs>
          <w:tab w:val="left" w:pos="567"/>
          <w:tab w:val="left" w:pos="851"/>
        </w:tabs>
        <w:spacing w:before="100" w:beforeAutospacing="1"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Щодо встановлених фактичних даних</w:t>
      </w:r>
    </w:p>
    <w:p w:rsidR="0053260F" w:rsidRPr="00D55ED6" w:rsidRDefault="0053260F" w:rsidP="0053260F">
      <w:pPr>
        <w:widowControl w:val="0"/>
        <w:tabs>
          <w:tab w:val="left" w:pos="567"/>
          <w:tab w:val="left" w:pos="851"/>
        </w:tabs>
        <w:spacing w:before="100" w:beforeAutospacing="1"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53260F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До дисциплінарної скарги </w:t>
      </w:r>
      <w:r w:rsidRPr="00B435F7">
        <w:rPr>
          <w:rFonts w:ascii="Times New Roman" w:eastAsia="Calibri" w:hAnsi="Times New Roman" w:cs="Times New Roman"/>
          <w:sz w:val="28"/>
          <w:szCs w:val="28"/>
          <w:lang w:val="uk-UA"/>
        </w:rPr>
        <w:t>будь-яких матеріалів не долучено.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3260F" w:rsidRDefault="0053260F" w:rsidP="0053260F">
      <w:pPr>
        <w:widowControl w:val="0"/>
        <w:tabs>
          <w:tab w:val="left" w:pos="567"/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260F" w:rsidRDefault="0053260F" w:rsidP="0053260F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Щодо джерел права, які підлягають застосуванню</w:t>
      </w:r>
    </w:p>
    <w:p w:rsidR="0053260F" w:rsidRPr="00D55ED6" w:rsidRDefault="0053260F" w:rsidP="0053260F">
      <w:pPr>
        <w:widowControl w:val="0"/>
        <w:tabs>
          <w:tab w:val="left" w:pos="851"/>
        </w:tabs>
        <w:spacing w:after="120"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прокуратуру,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серед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покладена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функція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нагляду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додержанням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органами,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провадять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слідство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(пункт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 Закону № 1697-VII.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Однією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засад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 то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Закону,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Законодавцем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спеціальна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процедура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303–307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).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в межах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наголошено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45 Закону № 1697-VII.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гарантії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забезпечуються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засади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 Закону № 1697-VII,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24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права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кожному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гарантується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право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суду,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слідчого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судді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прокурора,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слідчого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порядку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Кодексом.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Безпосередній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регламентовано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главою 26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загальним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правилом,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наведеним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36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прокурор,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здійснюючи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Кодексу,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самостійним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яку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другою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36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перелік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керівництво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16 Закону № 1697-VII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вбачається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здійснюючи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функції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прокурор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незаконного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тиску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керується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Конституцією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законами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Конституції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посадові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особи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зобов’язані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підставі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межах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Конституцією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законами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Виходячи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викладеного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наділена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повноваженнями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вказівок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нагляду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додержанням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керівництва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Вихід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«Про прокуратуру»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розцінюватися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наведено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45 Закону № 1697-VII –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процедури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розгляду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містяться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43 Закону № 1697-VII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притягнуто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порядку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неналежне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2)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необґрунтоване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зволікання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розглядом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3)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розголошення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таємниці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охороняється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законом, яка стала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прокуророві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4)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законом порядку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декларації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особи,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уповноваженої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функцій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5)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порочать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викликати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сумнів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об’єктивності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неупередженості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непідкупності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6)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систематичне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(два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разів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одного року)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одноразове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грубе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7)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внутрішнього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розпорядку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8)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будь-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вплив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порядку,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суддів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публічних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висловлювань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адміністративного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правопорушення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; 9)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публічне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висловлювання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яке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презумпції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невинуватості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Юридична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конструкція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46 Закону № 1697-VII, яка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регламентує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процедуру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побудована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таким чином,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можливе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прокурора;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анонімною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подана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Закону;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з прокурором,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стосовно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надійшла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припинено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правовідносини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випадках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статтею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51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Закону;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проступок,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предметом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прийняла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яке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скасовано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установленому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законом порядку.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46 Закону № 1697-VII член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вмотивованим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відмовляє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підпунктами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1-5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46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Виходячи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цієї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норми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першу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встановлюватись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приймається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прокурора.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 пункту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62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припущень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неперевіреної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недостовірної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Оцінка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встановлених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обставин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мотиви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прийнятого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рішення</w:t>
      </w:r>
      <w:proofErr w:type="spellEnd"/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стосується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допущених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у межах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>конфіденгційна</w:t>
      </w:r>
      <w:proofErr w:type="spellEnd"/>
      <w:r w:rsidR="00F962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інформація)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підтримання публічного обвинувачення в суді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зауважити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проступку, як і будь-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противоправному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діянню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притаманна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об’єктивних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суб’єктивних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сукупність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називається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складом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правопорушення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Об’єктивну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сторону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характеризують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протиправне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можливі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шкідливі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наслідки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причинний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зв’язок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шкідливими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наслідками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останніх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Суб’єктивну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сторону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характеризує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вина.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прокурора.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членом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одержано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достовірні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 дозволяли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зробити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попередній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умовивід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імовірність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вище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конкретного прокурора.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Звертаючись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особа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доступними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обґрунтувати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індивідуально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прав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закону.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змушена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розпочинати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будь-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міститься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твердження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без будь-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фактів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вказують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Умовою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викладених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перш за все факт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індивідуально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прав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належного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суб’єкта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(суду,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вищого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за результатами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порядку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Нормами закону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впливу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них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перешкод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здійсненні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гарантією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самостійності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втручання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яку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заборонено.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в межах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прав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вищого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рівня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неправомірними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долучено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звернення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суду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 органу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КПК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порядку.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повідомлено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попередньо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його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версію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43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1697-VII,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позаслужбовій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поведінці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міститься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 могли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свідчити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завідомо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неправомірні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неякісні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всупереч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 та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потягли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негативних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неможливо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встановити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окремі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бездіяльність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предметом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оскарження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визнано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неправомірними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член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позбавлений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надавати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оцінку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вказаного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 межах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усталеною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судовою практикою у справах,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виникають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відносин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публічної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факту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неналежного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факт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ухилення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рамках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ним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спеціальних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завідомо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неякісне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правил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тягне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собою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негативних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наслідків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Касаційного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адміністративного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суду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Верховного суду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12.07.2018  № 9901/565/18).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Як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Касаційного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адміністративного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суду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Верховного Суду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21 червня 2018 року (справа № 9901/486/18)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 повинна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вирішувати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яке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межах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лише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перевіряти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викладені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доводи на предмет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ставляться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посадових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Незгода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учасника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прокурора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автоматично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наслідком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наведених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доводів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вбачається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здійсненні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умисно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недбалості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допущено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істотне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норм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закону.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Водночас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є органом,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нагляд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додержанням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окремі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виключній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компетенції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досудового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розслідування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процесуального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керівництва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суду.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Зважаючи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викладене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твердження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неналежне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суб’єктивним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скарга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свідчили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вчинення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порочать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викликати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сумнів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об’єктивності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неупередженості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непідкупності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 пункту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розділу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I Порядку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внутрішньої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органах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виконувача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Генерального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березня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2025 року № 69,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порочать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викликати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сумнів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об’єктивності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неупередженості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непідкупності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прокуратури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належать: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заборон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обмежень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встановлених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Законами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», «Про прокуратуру»;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транспортними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засобами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алкогольного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наркотичного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сп’яніння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проходження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огляду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метою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виявлення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стану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сп’яніння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установленому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порядку;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неподання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несвоєчасне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без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поважних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причин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декларації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завідомо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недостовірних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(у тому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числі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неповних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тверджень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протиправні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позаслужбові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стосунки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прокурором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службового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статусу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пов’язаних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можливостей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користь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своїх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приватних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третіх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Наведені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скарзі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охоплюються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переліком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передбачена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пунктом 5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першої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43 Закону № 1697-VII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належним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чином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підтверджено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аргументи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зводяться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власної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оцінки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обставин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зазначених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подій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пункту 62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органу,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Комісія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(і,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кожен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прийняти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припущень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неперевіреної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недостовірної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Отже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скаржни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 наведено та не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надано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конкретних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відомостей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проступку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діях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Черкаса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підставою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приходжу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висновку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необхідність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відкритті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53260F" w:rsidRDefault="0053260F" w:rsidP="0053260F">
      <w:pPr>
        <w:spacing w:after="0" w:line="240" w:lineRule="auto"/>
        <w:ind w:righ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Керуючись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статтями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44 – 46 Закону № 1697-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пунктами 28, 62, 98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Положення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 порядок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органу,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дисциплінарне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прийнятого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всеукраїнською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конференцією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прокурорів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2017 року (в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27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серпня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2024 року),   </w:t>
      </w:r>
    </w:p>
    <w:p w:rsidR="0053260F" w:rsidRDefault="0053260F" w:rsidP="0053260F">
      <w:pPr>
        <w:tabs>
          <w:tab w:val="left" w:pos="567"/>
        </w:tabs>
        <w:spacing w:after="0" w:line="240" w:lineRule="auto"/>
        <w:ind w:right="-284" w:firstLine="709"/>
        <w:jc w:val="both"/>
        <w:rPr>
          <w:sz w:val="16"/>
          <w:szCs w:val="16"/>
        </w:rPr>
      </w:pPr>
    </w:p>
    <w:p w:rsidR="0053260F" w:rsidRDefault="0053260F" w:rsidP="0053260F">
      <w:pPr>
        <w:widowControl w:val="0"/>
        <w:pBdr>
          <w:bottom w:val="single" w:sz="12" w:space="12" w:color="FFFFFF"/>
        </w:pBdr>
        <w:spacing w:after="24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А:</w:t>
      </w:r>
    </w:p>
    <w:p w:rsidR="0053260F" w:rsidRDefault="0053260F" w:rsidP="0053260F">
      <w:pPr>
        <w:widowControl w:val="0"/>
        <w:pBdr>
          <w:bottom w:val="single" w:sz="12" w:space="12" w:color="FFFFFF"/>
        </w:pBdr>
        <w:spacing w:after="12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Відмовити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відкритті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дисциплінарного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Харківсь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Черкаса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60F" w:rsidRDefault="0053260F" w:rsidP="0053260F">
      <w:pPr>
        <w:widowControl w:val="0"/>
        <w:pBdr>
          <w:bottom w:val="single" w:sz="12" w:space="12" w:color="FFFFFF"/>
        </w:pBdr>
        <w:spacing w:after="36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скаржни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прокурору.</w:t>
      </w:r>
    </w:p>
    <w:p w:rsidR="0053260F" w:rsidRDefault="0053260F" w:rsidP="0053260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Кваліфікаційно-дисциплінарної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260F" w:rsidRDefault="0053260F" w:rsidP="0053260F">
      <w:pPr>
        <w:spacing w:line="254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прокурорів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Ніна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ГАРБУЗА</w:t>
      </w:r>
    </w:p>
    <w:p w:rsidR="0053260F" w:rsidRDefault="0053260F" w:rsidP="0053260F"/>
    <w:p w:rsidR="008059EC" w:rsidRDefault="008059EC"/>
    <w:sectPr w:rsidR="008059EC" w:rsidSect="006974B9">
      <w:headerReference w:type="default" r:id="rId7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3F0C" w:rsidRDefault="00DB3F0C" w:rsidP="0053260F">
      <w:pPr>
        <w:spacing w:after="0" w:line="240" w:lineRule="auto"/>
      </w:pPr>
      <w:r>
        <w:separator/>
      </w:r>
    </w:p>
  </w:endnote>
  <w:endnote w:type="continuationSeparator" w:id="0">
    <w:p w:rsidR="00DB3F0C" w:rsidRDefault="00DB3F0C" w:rsidP="0053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3F0C" w:rsidRDefault="00DB3F0C" w:rsidP="0053260F">
      <w:pPr>
        <w:spacing w:after="0" w:line="240" w:lineRule="auto"/>
      </w:pPr>
      <w:r>
        <w:separator/>
      </w:r>
    </w:p>
  </w:footnote>
  <w:footnote w:type="continuationSeparator" w:id="0">
    <w:p w:rsidR="00DB3F0C" w:rsidRDefault="00DB3F0C" w:rsidP="0053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3344166"/>
      <w:docPartObj>
        <w:docPartGallery w:val="Page Numbers (Top of Page)"/>
        <w:docPartUnique/>
      </w:docPartObj>
    </w:sdtPr>
    <w:sdtContent>
      <w:p w:rsidR="0053260F" w:rsidRDefault="0053260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53260F" w:rsidRDefault="00532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0F"/>
    <w:rsid w:val="0053260F"/>
    <w:rsid w:val="006974B9"/>
    <w:rsid w:val="008059EC"/>
    <w:rsid w:val="00DB3F0C"/>
    <w:rsid w:val="00F9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FC6F"/>
  <w15:chartTrackingRefBased/>
  <w15:docId w15:val="{E9C0D885-0F3F-41E6-B5A3-783F29A2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60F"/>
    <w:rPr>
      <w:lang w:val="ru-RU"/>
    </w:rPr>
  </w:style>
  <w:style w:type="paragraph" w:styleId="a5">
    <w:name w:val="footer"/>
    <w:basedOn w:val="a"/>
    <w:link w:val="a6"/>
    <w:uiPriority w:val="99"/>
    <w:unhideWhenUsed/>
    <w:rsid w:val="005326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60F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10944</Words>
  <Characters>6239</Characters>
  <Application>Microsoft Office Word</Application>
  <DocSecurity>0</DocSecurity>
  <Lines>51</Lines>
  <Paragraphs>34</Paragraphs>
  <ScaleCrop>false</ScaleCrop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</dc:creator>
  <cp:keywords/>
  <dc:description/>
  <cp:lastModifiedBy>Oleksandr</cp:lastModifiedBy>
  <cp:revision>3</cp:revision>
  <dcterms:created xsi:type="dcterms:W3CDTF">2025-12-30T08:35:00Z</dcterms:created>
  <dcterms:modified xsi:type="dcterms:W3CDTF">2025-12-30T08:43:00Z</dcterms:modified>
</cp:coreProperties>
</file>