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E942" w14:textId="77777777" w:rsidR="006108DE" w:rsidRPr="007E0F45" w:rsidRDefault="006108DE" w:rsidP="006108D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7EAB52F3" wp14:editId="0D9A40C5">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0928164" w14:textId="77777777" w:rsidR="006108DE" w:rsidRPr="007E0F45" w:rsidRDefault="006108DE" w:rsidP="006108D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F7A88D6" w14:textId="77777777" w:rsidR="006108DE" w:rsidRPr="007E0F45" w:rsidRDefault="006108DE" w:rsidP="006108DE">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6AE0335C" w14:textId="77777777" w:rsidR="006108DE" w:rsidRDefault="006108DE" w:rsidP="006108DE">
      <w:pPr>
        <w:spacing w:after="0" w:line="240" w:lineRule="auto"/>
        <w:rPr>
          <w:rFonts w:ascii="Times New Roman" w:eastAsia="Times New Roman" w:hAnsi="Times New Roman"/>
          <w:color w:val="000000" w:themeColor="text1"/>
          <w:kern w:val="28"/>
          <w:sz w:val="28"/>
          <w:szCs w:val="28"/>
          <w:lang w:eastAsia="uk-UA"/>
        </w:rPr>
      </w:pPr>
    </w:p>
    <w:p w14:paraId="361F4FEA" w14:textId="77777777" w:rsidR="006108DE" w:rsidRPr="007E0F45" w:rsidRDefault="006108DE" w:rsidP="006108DE">
      <w:pPr>
        <w:spacing w:after="0" w:line="240" w:lineRule="auto"/>
        <w:rPr>
          <w:rFonts w:ascii="Times New Roman" w:eastAsia="Times New Roman" w:hAnsi="Times New Roman"/>
          <w:color w:val="000000" w:themeColor="text1"/>
          <w:kern w:val="28"/>
          <w:sz w:val="28"/>
          <w:szCs w:val="28"/>
          <w:lang w:eastAsia="uk-UA"/>
        </w:rPr>
      </w:pPr>
    </w:p>
    <w:p w14:paraId="6A498D10" w14:textId="77777777" w:rsidR="006108DE" w:rsidRPr="007E0F45" w:rsidRDefault="006108DE" w:rsidP="006108DE">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2B57C7A" w14:textId="77777777" w:rsidR="006108DE" w:rsidRDefault="006108DE" w:rsidP="006108DE">
      <w:pPr>
        <w:spacing w:after="0" w:line="240" w:lineRule="auto"/>
        <w:ind w:left="84"/>
        <w:jc w:val="center"/>
        <w:rPr>
          <w:rFonts w:ascii="Times New Roman" w:eastAsia="Times New Roman" w:hAnsi="Times New Roman"/>
          <w:b/>
          <w:color w:val="000000" w:themeColor="text1"/>
          <w:kern w:val="28"/>
          <w:sz w:val="28"/>
          <w:szCs w:val="28"/>
          <w:lang w:eastAsia="uk-UA"/>
        </w:rPr>
      </w:pPr>
    </w:p>
    <w:p w14:paraId="277509BF" w14:textId="77777777" w:rsidR="006108DE" w:rsidRPr="007E0F45" w:rsidRDefault="006108DE" w:rsidP="006108DE">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6108DE" w:rsidRPr="007E0F45" w14:paraId="18D89FD7" w14:textId="77777777" w:rsidTr="008F7DB9">
        <w:trPr>
          <w:trHeight w:val="460"/>
        </w:trPr>
        <w:tc>
          <w:tcPr>
            <w:tcW w:w="1765" w:type="pct"/>
            <w:hideMark/>
          </w:tcPr>
          <w:p w14:paraId="5003AB6B" w14:textId="77777777" w:rsidR="006108DE" w:rsidRPr="007E0F45" w:rsidRDefault="006108DE"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19</w:t>
            </w:r>
            <w:r w:rsidRPr="00E47DB2">
              <w:rPr>
                <w:rFonts w:ascii="Times New Roman" w:eastAsia="Times New Roman" w:hAnsi="Times New Roman"/>
                <w:b/>
                <w:color w:val="000000" w:themeColor="text1"/>
                <w:kern w:val="2"/>
                <w:sz w:val="28"/>
                <w:szCs w:val="24"/>
                <w:lang w:eastAsia="ru-RU"/>
                <w14:ligatures w14:val="standardContextual"/>
              </w:rPr>
              <w:t xml:space="preserve"> грудня 2025</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37D40934" w14:textId="77777777" w:rsidR="006108DE" w:rsidRPr="007E0F45" w:rsidRDefault="006108DE"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C71E7DB" w14:textId="77777777" w:rsidR="006108DE" w:rsidRPr="007E0F45" w:rsidRDefault="006108DE"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248</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4978C86E" w14:textId="77777777" w:rsidR="006108DE" w:rsidRPr="007E0F45" w:rsidRDefault="006108DE" w:rsidP="006108DE">
      <w:pPr>
        <w:widowControl w:val="0"/>
        <w:spacing w:line="240" w:lineRule="auto"/>
        <w:contextualSpacing/>
        <w:rPr>
          <w:rFonts w:ascii="Times New Roman" w:hAnsi="Times New Roman"/>
          <w:b/>
          <w:noProof/>
          <w:color w:val="000000" w:themeColor="text1"/>
          <w:sz w:val="28"/>
          <w:szCs w:val="28"/>
          <w:lang w:eastAsia="uk-UA"/>
        </w:rPr>
      </w:pPr>
    </w:p>
    <w:p w14:paraId="39AE0F2F" w14:textId="77777777" w:rsidR="006108DE" w:rsidRPr="007E0F45" w:rsidRDefault="006108DE" w:rsidP="006108D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5895524" w14:textId="77777777" w:rsidR="006108DE" w:rsidRPr="007E0F45" w:rsidRDefault="006108DE" w:rsidP="006108D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60942277" w14:textId="77777777" w:rsidR="006108DE" w:rsidRPr="007E0F45" w:rsidRDefault="006108DE" w:rsidP="006108DE">
      <w:pPr>
        <w:widowControl w:val="0"/>
        <w:spacing w:line="240" w:lineRule="auto"/>
        <w:contextualSpacing/>
        <w:rPr>
          <w:rFonts w:ascii="Times New Roman" w:hAnsi="Times New Roman"/>
          <w:b/>
          <w:noProof/>
          <w:color w:val="000000" w:themeColor="text1"/>
          <w:sz w:val="28"/>
          <w:szCs w:val="28"/>
          <w:lang w:eastAsia="uk-UA"/>
        </w:rPr>
      </w:pPr>
    </w:p>
    <w:p w14:paraId="2DFB07A6" w14:textId="5B49BDCD" w:rsidR="006108DE" w:rsidRDefault="006108DE" w:rsidP="006108DE">
      <w:pPr>
        <w:pStyle w:val="a4"/>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 xml:space="preserve">стосовно </w:t>
      </w:r>
      <w:r>
        <w:rPr>
          <w:rFonts w:ascii="Times New Roman" w:hAnsi="Times New Roman"/>
          <w:sz w:val="28"/>
          <w:szCs w:val="28"/>
        </w:rPr>
        <w:t xml:space="preserve">першого заступника </w:t>
      </w:r>
      <w:proofErr w:type="spellStart"/>
      <w:r>
        <w:rPr>
          <w:rFonts w:ascii="Times New Roman" w:hAnsi="Times New Roman"/>
          <w:sz w:val="28"/>
          <w:szCs w:val="28"/>
        </w:rPr>
        <w:t>Немишлянської</w:t>
      </w:r>
      <w:proofErr w:type="spellEnd"/>
      <w:r>
        <w:rPr>
          <w:rFonts w:ascii="Times New Roman" w:hAnsi="Times New Roman"/>
          <w:sz w:val="28"/>
          <w:szCs w:val="28"/>
        </w:rPr>
        <w:t xml:space="preserve"> окружної прокуратури міста Харкова </w:t>
      </w:r>
      <w:proofErr w:type="spellStart"/>
      <w:r>
        <w:rPr>
          <w:rFonts w:ascii="Times New Roman" w:hAnsi="Times New Roman"/>
          <w:sz w:val="28"/>
          <w:szCs w:val="28"/>
        </w:rPr>
        <w:t>Алекаєва</w:t>
      </w:r>
      <w:proofErr w:type="spellEnd"/>
      <w:r>
        <w:rPr>
          <w:rFonts w:ascii="Times New Roman" w:hAnsi="Times New Roman"/>
          <w:sz w:val="28"/>
          <w:szCs w:val="28"/>
        </w:rPr>
        <w:t xml:space="preserve"> Юрія Вікторовича, </w:t>
      </w:r>
    </w:p>
    <w:p w14:paraId="12612BAC" w14:textId="77777777" w:rsidR="006108DE" w:rsidRPr="007E0F45" w:rsidRDefault="006108DE" w:rsidP="006108DE">
      <w:pPr>
        <w:pStyle w:val="a4"/>
        <w:widowControl w:val="0"/>
        <w:tabs>
          <w:tab w:val="left" w:pos="993"/>
        </w:tabs>
        <w:ind w:firstLine="567"/>
        <w:jc w:val="both"/>
        <w:rPr>
          <w:rFonts w:ascii="Times New Roman" w:hAnsi="Times New Roman"/>
          <w:color w:val="000000" w:themeColor="text1"/>
          <w:sz w:val="28"/>
          <w:szCs w:val="28"/>
        </w:rPr>
      </w:pPr>
    </w:p>
    <w:p w14:paraId="34D51A16" w14:textId="77777777" w:rsidR="006108DE" w:rsidRPr="007E0F45" w:rsidRDefault="006108DE" w:rsidP="006108DE">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E568519" w14:textId="77777777" w:rsidR="006108DE" w:rsidRPr="00584575" w:rsidRDefault="006108DE" w:rsidP="006108DE">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083CF863" w14:textId="77777777" w:rsidR="006108DE" w:rsidRPr="007E0F45" w:rsidRDefault="006108DE" w:rsidP="006108DE">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6119B73" w14:textId="0E1996AB" w:rsidR="006108DE" w:rsidRPr="007E0F45" w:rsidRDefault="006108DE" w:rsidP="006108DE">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Алекаєвим</w:t>
      </w:r>
      <w:proofErr w:type="spellEnd"/>
      <w:r>
        <w:rPr>
          <w:rFonts w:ascii="Times New Roman" w:hAnsi="Times New Roman"/>
          <w:color w:val="000000" w:themeColor="text1"/>
          <w:sz w:val="28"/>
          <w:szCs w:val="28"/>
        </w:rPr>
        <w:t xml:space="preserve"> Ю.В.</w:t>
      </w:r>
    </w:p>
    <w:p w14:paraId="0C854812" w14:textId="77777777" w:rsidR="006108DE" w:rsidRPr="007E0F45" w:rsidRDefault="006108DE" w:rsidP="006108DE">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12 грудня</w:t>
      </w:r>
      <w:r w:rsidRPr="007E0F45">
        <w:rPr>
          <w:rFonts w:ascii="Times New Roman" w:hAnsi="Times New Roman"/>
          <w:color w:val="000000" w:themeColor="text1"/>
          <w:sz w:val="28"/>
          <w:szCs w:val="28"/>
        </w:rPr>
        <w:t xml:space="preserve"> 2025 року). </w:t>
      </w:r>
    </w:p>
    <w:p w14:paraId="702AA457" w14:textId="77777777" w:rsidR="006108DE" w:rsidRPr="007E0F45" w:rsidRDefault="006108DE" w:rsidP="006108D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2EEF9A96" w14:textId="5C483AC2" w:rsidR="006108DE"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Скаржниця</w:t>
      </w:r>
      <w:r w:rsidRPr="009B03D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зазначає, що ухвалою </w:t>
      </w:r>
      <w:r w:rsidRPr="0024584E">
        <w:rPr>
          <w:rFonts w:ascii="Times New Roman" w:hAnsi="Times New Roman"/>
          <w:color w:val="000000" w:themeColor="text1"/>
          <w:sz w:val="28"/>
          <w:szCs w:val="28"/>
        </w:rPr>
        <w:t>Індустріаль</w:t>
      </w:r>
      <w:r>
        <w:rPr>
          <w:rFonts w:ascii="Times New Roman" w:hAnsi="Times New Roman"/>
          <w:color w:val="000000" w:themeColor="text1"/>
          <w:sz w:val="28"/>
          <w:szCs w:val="28"/>
        </w:rPr>
        <w:t xml:space="preserve">ного </w:t>
      </w:r>
      <w:r w:rsidRPr="0024584E">
        <w:rPr>
          <w:rFonts w:ascii="Times New Roman" w:hAnsi="Times New Roman"/>
          <w:color w:val="000000" w:themeColor="text1"/>
          <w:sz w:val="28"/>
          <w:szCs w:val="28"/>
        </w:rPr>
        <w:t>районн</w:t>
      </w:r>
      <w:r>
        <w:rPr>
          <w:rFonts w:ascii="Times New Roman" w:hAnsi="Times New Roman"/>
          <w:color w:val="000000" w:themeColor="text1"/>
          <w:sz w:val="28"/>
          <w:szCs w:val="28"/>
        </w:rPr>
        <w:t>ого</w:t>
      </w:r>
      <w:r w:rsidRPr="0024584E">
        <w:rPr>
          <w:rFonts w:ascii="Times New Roman" w:hAnsi="Times New Roman"/>
          <w:color w:val="000000" w:themeColor="text1"/>
          <w:sz w:val="28"/>
          <w:szCs w:val="28"/>
        </w:rPr>
        <w:t xml:space="preserve"> суд</w:t>
      </w:r>
      <w:r>
        <w:rPr>
          <w:rFonts w:ascii="Times New Roman" w:hAnsi="Times New Roman"/>
          <w:color w:val="000000" w:themeColor="text1"/>
          <w:sz w:val="28"/>
          <w:szCs w:val="28"/>
        </w:rPr>
        <w:t>у</w:t>
      </w:r>
      <w:r w:rsidRPr="0024584E">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24584E">
        <w:rPr>
          <w:rFonts w:ascii="Times New Roman" w:hAnsi="Times New Roman"/>
          <w:color w:val="000000" w:themeColor="text1"/>
          <w:sz w:val="28"/>
          <w:szCs w:val="28"/>
        </w:rPr>
        <w:t xml:space="preserve">м. Харкова </w:t>
      </w:r>
      <w:r>
        <w:rPr>
          <w:rFonts w:ascii="Times New Roman" w:hAnsi="Times New Roman"/>
          <w:color w:val="000000" w:themeColor="text1"/>
          <w:sz w:val="28"/>
          <w:szCs w:val="28"/>
        </w:rPr>
        <w:t xml:space="preserve"> від 02 червня 2025 року у справі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зобов’язано уповноважених осіб Харківського РУП № 2 ГУНП в Харківській області </w:t>
      </w:r>
      <w:proofErr w:type="spellStart"/>
      <w:r>
        <w:rPr>
          <w:rFonts w:ascii="Times New Roman" w:hAnsi="Times New Roman"/>
          <w:color w:val="000000" w:themeColor="text1"/>
          <w:sz w:val="28"/>
          <w:szCs w:val="28"/>
        </w:rPr>
        <w:t>внести</w:t>
      </w:r>
      <w:proofErr w:type="spellEnd"/>
      <w:r>
        <w:rPr>
          <w:rFonts w:ascii="Times New Roman" w:hAnsi="Times New Roman"/>
          <w:color w:val="000000" w:themeColor="text1"/>
          <w:sz w:val="28"/>
          <w:szCs w:val="28"/>
        </w:rPr>
        <w:t xml:space="preserve"> відомості до Єдиного реєстру досудових розслідувань за заявою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p>
    <w:p w14:paraId="390A456F" w14:textId="77777777" w:rsidR="006108DE"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14 жовтня 2025 року, при ознайомленні з матеріалами кримінального провадження, скаржниця дізналася, що відомості до ЄРДР були внесені </w:t>
      </w:r>
      <w:r>
        <w:rPr>
          <w:rFonts w:ascii="Times New Roman" w:hAnsi="Times New Roman"/>
          <w:color w:val="000000" w:themeColor="text1"/>
          <w:sz w:val="28"/>
          <w:szCs w:val="28"/>
        </w:rPr>
        <w:br/>
        <w:t xml:space="preserve">05 червня 2025 року, проте відповідних процесуальних документів їй </w:t>
      </w:r>
      <w:proofErr w:type="spellStart"/>
      <w:r>
        <w:rPr>
          <w:rFonts w:ascii="Times New Roman" w:hAnsi="Times New Roman"/>
          <w:color w:val="000000" w:themeColor="text1"/>
          <w:sz w:val="28"/>
          <w:szCs w:val="28"/>
        </w:rPr>
        <w:t>вручено</w:t>
      </w:r>
      <w:proofErr w:type="spellEnd"/>
      <w:r>
        <w:rPr>
          <w:rFonts w:ascii="Times New Roman" w:hAnsi="Times New Roman"/>
          <w:color w:val="000000" w:themeColor="text1"/>
          <w:sz w:val="28"/>
          <w:szCs w:val="28"/>
        </w:rPr>
        <w:t xml:space="preserve"> не було. </w:t>
      </w:r>
    </w:p>
    <w:p w14:paraId="5A167E1A" w14:textId="77777777" w:rsidR="006108DE" w:rsidRPr="00E305E6"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E305E6">
        <w:rPr>
          <w:rFonts w:ascii="Times New Roman" w:hAnsi="Times New Roman"/>
          <w:color w:val="000000" w:themeColor="text1"/>
          <w:sz w:val="28"/>
          <w:szCs w:val="28"/>
        </w:rPr>
        <w:t xml:space="preserve">Крім того, з матеріалів кримінального провадження скаржниці стало відомо, що постановою першого заступника керівника </w:t>
      </w:r>
      <w:proofErr w:type="spellStart"/>
      <w:r w:rsidRPr="00E305E6">
        <w:rPr>
          <w:rFonts w:ascii="Times New Roman" w:hAnsi="Times New Roman"/>
          <w:color w:val="000000" w:themeColor="text1"/>
          <w:sz w:val="28"/>
          <w:szCs w:val="28"/>
        </w:rPr>
        <w:t>Немишлянської</w:t>
      </w:r>
      <w:proofErr w:type="spellEnd"/>
      <w:r w:rsidRPr="00E305E6">
        <w:rPr>
          <w:rFonts w:ascii="Times New Roman" w:hAnsi="Times New Roman"/>
          <w:color w:val="000000" w:themeColor="text1"/>
          <w:sz w:val="28"/>
          <w:szCs w:val="28"/>
        </w:rPr>
        <w:t xml:space="preserve"> окружної </w:t>
      </w:r>
      <w:r w:rsidRPr="00E305E6">
        <w:rPr>
          <w:rFonts w:ascii="Times New Roman" w:hAnsi="Times New Roman"/>
          <w:color w:val="000000" w:themeColor="text1"/>
          <w:sz w:val="28"/>
          <w:szCs w:val="28"/>
        </w:rPr>
        <w:lastRenderedPageBreak/>
        <w:t xml:space="preserve">прокуратури </w:t>
      </w:r>
      <w:r>
        <w:rPr>
          <w:rFonts w:ascii="Times New Roman" w:hAnsi="Times New Roman"/>
          <w:color w:val="000000" w:themeColor="text1"/>
          <w:sz w:val="28"/>
          <w:szCs w:val="28"/>
        </w:rPr>
        <w:t xml:space="preserve">міста Харкова </w:t>
      </w:r>
      <w:proofErr w:type="spellStart"/>
      <w:r w:rsidRPr="00E305E6">
        <w:rPr>
          <w:rFonts w:ascii="Times New Roman" w:hAnsi="Times New Roman"/>
          <w:color w:val="000000" w:themeColor="text1"/>
          <w:sz w:val="28"/>
          <w:szCs w:val="28"/>
        </w:rPr>
        <w:t>Алекаєв</w:t>
      </w:r>
      <w:r>
        <w:rPr>
          <w:rFonts w:ascii="Times New Roman" w:hAnsi="Times New Roman"/>
          <w:color w:val="000000" w:themeColor="text1"/>
          <w:sz w:val="28"/>
          <w:szCs w:val="28"/>
        </w:rPr>
        <w:t>а</w:t>
      </w:r>
      <w:proofErr w:type="spellEnd"/>
      <w:r w:rsidRPr="00E305E6">
        <w:rPr>
          <w:rFonts w:ascii="Times New Roman" w:hAnsi="Times New Roman"/>
          <w:color w:val="000000" w:themeColor="text1"/>
          <w:sz w:val="28"/>
          <w:szCs w:val="28"/>
        </w:rPr>
        <w:t xml:space="preserve"> Ю.В. від 06 липня 2025 року було визначено групу прокурорів у відповідному кримінальному провадженні.</w:t>
      </w:r>
    </w:p>
    <w:p w14:paraId="2BF08FED" w14:textId="77777777" w:rsidR="006108DE"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E305E6">
        <w:rPr>
          <w:rFonts w:ascii="Times New Roman" w:hAnsi="Times New Roman"/>
          <w:color w:val="000000" w:themeColor="text1"/>
          <w:sz w:val="28"/>
          <w:szCs w:val="28"/>
        </w:rPr>
        <w:t>Разом з тим, на переконання скаржниці, зазначена постанова не містить обов’язкових реквізитів, а саме реєстраційного номера та дати її складання, що свідчить про порушення вимог кримінального процесуального законодавства та ставить під сумнів її належне процесуальне оформлення.</w:t>
      </w:r>
    </w:p>
    <w:p w14:paraId="46CE40D4" w14:textId="77777777" w:rsidR="006108DE"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Отже, вищевказаними діями, прокурор </w:t>
      </w:r>
      <w:proofErr w:type="spellStart"/>
      <w:r>
        <w:rPr>
          <w:rFonts w:ascii="Times New Roman" w:hAnsi="Times New Roman"/>
          <w:color w:val="000000" w:themeColor="text1"/>
          <w:sz w:val="28"/>
          <w:szCs w:val="28"/>
        </w:rPr>
        <w:t>Алекаєв</w:t>
      </w:r>
      <w:proofErr w:type="spellEnd"/>
      <w:r>
        <w:rPr>
          <w:rFonts w:ascii="Times New Roman" w:hAnsi="Times New Roman"/>
          <w:color w:val="000000" w:themeColor="text1"/>
          <w:sz w:val="28"/>
          <w:szCs w:val="28"/>
        </w:rPr>
        <w:t xml:space="preserve"> Ю.В. вчинив дисциплінарний проступок, передбачений пунктами 1, 5, 7, 8 частини першої статті 43 Закону України «Про прокуратуру».</w:t>
      </w:r>
    </w:p>
    <w:p w14:paraId="7199D4A9" w14:textId="77777777" w:rsidR="006108DE"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p>
    <w:p w14:paraId="35805AD2" w14:textId="77777777" w:rsidR="006108DE" w:rsidRPr="00EF27D2" w:rsidRDefault="006108DE" w:rsidP="006108DE">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1828F4D8" w14:textId="77777777" w:rsidR="006108DE" w:rsidRDefault="006108DE" w:rsidP="006108D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 xml:space="preserve">долучено копії: постанови від 06.07.2025; витягу з ЄРДР; лист повідомлення про початок досудового розслідування. </w:t>
      </w:r>
    </w:p>
    <w:p w14:paraId="7645D20A" w14:textId="77777777" w:rsidR="006108DE" w:rsidRDefault="006108DE" w:rsidP="006108D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6F97C616" w14:textId="77777777" w:rsidR="006108DE" w:rsidRPr="009F1FC3" w:rsidRDefault="006108DE" w:rsidP="006108DE">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2C972EF5" w14:textId="77777777" w:rsidR="006108DE" w:rsidRPr="007E0F45" w:rsidRDefault="006108DE" w:rsidP="006108DE">
      <w:pPr>
        <w:widowControl w:val="0"/>
        <w:tabs>
          <w:tab w:val="left" w:pos="851"/>
          <w:tab w:val="left" w:pos="993"/>
        </w:tabs>
        <w:spacing w:after="0" w:line="240" w:lineRule="auto"/>
        <w:jc w:val="both"/>
        <w:rPr>
          <w:rFonts w:ascii="Times New Roman" w:hAnsi="Times New Roman"/>
          <w:color w:val="000000" w:themeColor="text1"/>
          <w:sz w:val="28"/>
          <w:szCs w:val="28"/>
        </w:rPr>
      </w:pPr>
    </w:p>
    <w:p w14:paraId="3EF1354F" w14:textId="77777777" w:rsidR="006108DE" w:rsidRPr="007E0F45" w:rsidRDefault="006108DE" w:rsidP="006108DE">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w:t>
      </w:r>
      <w:r>
        <w:rPr>
          <w:rFonts w:ascii="Times New Roman" w:hAnsi="Times New Roman" w:cs="Calibri"/>
          <w:bCs/>
          <w:color w:val="000000" w:themeColor="text1"/>
          <w:sz w:val="28"/>
        </w:rPr>
        <w:t>передбачені</w:t>
      </w:r>
      <w:r w:rsidRPr="007E0F45">
        <w:rPr>
          <w:rFonts w:ascii="Times New Roman" w:hAnsi="Times New Roman" w:cs="Calibri"/>
          <w:bCs/>
          <w:color w:val="000000" w:themeColor="text1"/>
          <w:sz w:val="28"/>
        </w:rPr>
        <w:t xml:space="preserve"> Конституцією та законами України.</w:t>
      </w:r>
    </w:p>
    <w:p w14:paraId="4696FC67"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5DDA0E"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0830E60"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ECB30B3"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41802DE"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w:t>
      </w:r>
      <w:r w:rsidRPr="007E0F45">
        <w:rPr>
          <w:rFonts w:ascii="Times New Roman" w:hAnsi="Times New Roman"/>
          <w:color w:val="000000" w:themeColor="text1"/>
          <w:sz w:val="28"/>
          <w:szCs w:val="28"/>
        </w:rPr>
        <w:lastRenderedPageBreak/>
        <w:t xml:space="preserve">Комісією дисциплінарної скарги, в якій містяться відомості про вчинення прокурором дисциплінарного проступку. </w:t>
      </w:r>
    </w:p>
    <w:p w14:paraId="4832CF32"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043951E"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7E0F45">
        <w:rPr>
          <w:rFonts w:ascii="Times New Roman" w:hAnsi="Times New Roman"/>
          <w:color w:val="000000" w:themeColor="text1"/>
          <w:sz w:val="28"/>
          <w:szCs w:val="28"/>
        </w:rPr>
        <w:t>1) невиконання чи неналежне виконання службових обов’язків;</w:t>
      </w:r>
    </w:p>
    <w:p w14:paraId="1BBC8594"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7E0F45">
        <w:rPr>
          <w:rFonts w:ascii="Times New Roman" w:hAnsi="Times New Roman"/>
          <w:color w:val="000000" w:themeColor="text1"/>
          <w:sz w:val="28"/>
          <w:szCs w:val="28"/>
        </w:rPr>
        <w:t>2) необґрунтоване зволікання з розглядом звернення;</w:t>
      </w:r>
    </w:p>
    <w:p w14:paraId="2A5D44E6"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72905FE"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BD7C454"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F93A94C"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5ED2C032"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7E0F45">
        <w:rPr>
          <w:rFonts w:ascii="Times New Roman" w:hAnsi="Times New Roman"/>
          <w:color w:val="000000" w:themeColor="text1"/>
          <w:sz w:val="28"/>
          <w:szCs w:val="28"/>
        </w:rPr>
        <w:t>7) порушення правил внутрішнього службового розпорядку;</w:t>
      </w:r>
    </w:p>
    <w:p w14:paraId="5624141B"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12436C3"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555A059"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0F53113"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39688F54"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7E0F45">
        <w:rPr>
          <w:rFonts w:ascii="Times New Roman" w:hAnsi="Times New Roman"/>
          <w:color w:val="000000" w:themeColor="text1"/>
          <w:sz w:val="28"/>
          <w:szCs w:val="28"/>
        </w:rPr>
        <w:t>2) дисциплінарна скарга є анонімною;</w:t>
      </w:r>
    </w:p>
    <w:p w14:paraId="7B4F52CB"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D282850"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5" w:name="n1893"/>
      <w:bookmarkEnd w:id="15"/>
    </w:p>
    <w:p w14:paraId="789F548F" w14:textId="77777777" w:rsidR="006108DE" w:rsidRPr="007E0F45" w:rsidRDefault="006108DE" w:rsidP="006108D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37BE771" w14:textId="77777777" w:rsidR="006108DE" w:rsidRPr="007E0F45" w:rsidRDefault="006108DE" w:rsidP="006108D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36A8656" w14:textId="77777777" w:rsidR="006108DE" w:rsidRPr="007E0F45" w:rsidRDefault="006108DE" w:rsidP="006108D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7E0F45">
        <w:rPr>
          <w:rFonts w:ascii="Times New Roman" w:hAnsi="Times New Roman"/>
          <w:color w:val="000000" w:themeColor="text1"/>
          <w:sz w:val="28"/>
          <w:szCs w:val="28"/>
        </w:rPr>
        <w:lastRenderedPageBreak/>
        <w:t xml:space="preserve">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8B05221" w14:textId="77777777" w:rsidR="006108DE" w:rsidRPr="007E0F45" w:rsidRDefault="006108DE" w:rsidP="006108D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F4BA15E" w14:textId="77777777" w:rsidR="006108DE" w:rsidRPr="007E0F45" w:rsidRDefault="006108DE" w:rsidP="006108D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37A63D9" w14:textId="77777777" w:rsidR="006108DE" w:rsidRPr="007E0F45" w:rsidRDefault="006108DE" w:rsidP="006108DE">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955475B" w14:textId="77777777" w:rsidR="006108DE" w:rsidRPr="007E0F45" w:rsidRDefault="006108DE" w:rsidP="006108DE">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79F71DB" w14:textId="77777777" w:rsidR="006108DE" w:rsidRPr="007E0F45" w:rsidRDefault="006108DE" w:rsidP="006108DE">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1ADFCBE2" w14:textId="77777777" w:rsidR="006108DE" w:rsidRPr="007E0F45" w:rsidRDefault="006108DE" w:rsidP="006108DE">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169D511B" w14:textId="77777777" w:rsidR="006108DE" w:rsidRPr="007E0F45" w:rsidRDefault="006108DE" w:rsidP="006108DE">
      <w:pPr>
        <w:widowControl w:val="0"/>
        <w:tabs>
          <w:tab w:val="left" w:pos="851"/>
          <w:tab w:val="left" w:pos="993"/>
        </w:tabs>
        <w:spacing w:after="0" w:line="240" w:lineRule="auto"/>
        <w:jc w:val="both"/>
        <w:rPr>
          <w:rFonts w:ascii="Times New Roman" w:hAnsi="Times New Roman"/>
          <w:color w:val="000000" w:themeColor="text1"/>
          <w:sz w:val="28"/>
          <w:szCs w:val="28"/>
        </w:rPr>
      </w:pPr>
    </w:p>
    <w:p w14:paraId="2C3D2E89" w14:textId="598D414E" w:rsidR="006108DE" w:rsidRPr="007E0F45" w:rsidRDefault="006108DE" w:rsidP="006108DE">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стосується рішень, дій та бездіяльності прокурора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Алекаєва</w:t>
      </w:r>
      <w:proofErr w:type="spellEnd"/>
      <w:r>
        <w:rPr>
          <w:rFonts w:ascii="Times New Roman" w:hAnsi="Times New Roman"/>
          <w:color w:val="000000" w:themeColor="text1"/>
          <w:sz w:val="28"/>
          <w:szCs w:val="28"/>
        </w:rPr>
        <w:t xml:space="preserve"> Ю.В. </w:t>
      </w:r>
      <w:r w:rsidRPr="007E0F45">
        <w:rPr>
          <w:rFonts w:ascii="Times New Roman" w:hAnsi="Times New Roman"/>
          <w:color w:val="000000" w:themeColor="text1"/>
          <w:sz w:val="28"/>
          <w:szCs w:val="28"/>
        </w:rPr>
        <w:t>вчинених (допущених) в межах кримінального процесу.</w:t>
      </w:r>
    </w:p>
    <w:p w14:paraId="422EFA50" w14:textId="77777777" w:rsidR="006108DE" w:rsidRPr="007E0F45" w:rsidRDefault="006108DE" w:rsidP="006108D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F459FEA" w14:textId="77777777" w:rsidR="006108DE" w:rsidRPr="007E0F45" w:rsidRDefault="006108DE" w:rsidP="006108D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7E0F45">
        <w:rPr>
          <w:rFonts w:ascii="Times New Roman" w:hAnsi="Times New Roman"/>
          <w:color w:val="000000" w:themeColor="text1"/>
          <w:sz w:val="28"/>
          <w:szCs w:val="28"/>
        </w:rPr>
        <w:lastRenderedPageBreak/>
        <w:t xml:space="preserve">самостійності прокурорів у своїй процесуальній діяльності, втручання в яку осіб, що не мають на те законних повноважень, заборонено. </w:t>
      </w:r>
    </w:p>
    <w:p w14:paraId="4D14871C" w14:textId="77777777" w:rsidR="006108DE" w:rsidRDefault="006108DE" w:rsidP="006108D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790125E" w14:textId="77777777" w:rsidR="006108DE" w:rsidRDefault="006108DE" w:rsidP="006108DE">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color w:val="000000" w:themeColor="text1"/>
          <w:sz w:val="28"/>
          <w:szCs w:val="28"/>
        </w:rPr>
        <w:t>Алекаєва</w:t>
      </w:r>
      <w:proofErr w:type="spellEnd"/>
      <w:r>
        <w:rPr>
          <w:rFonts w:ascii="Times New Roman" w:hAnsi="Times New Roman"/>
          <w:color w:val="000000" w:themeColor="text1"/>
          <w:sz w:val="28"/>
          <w:szCs w:val="28"/>
        </w:rPr>
        <w:t xml:space="preserve"> Ю.В.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5D1D67C7" w14:textId="77777777" w:rsidR="006108DE" w:rsidRPr="000002BA"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0002BA">
        <w:rPr>
          <w:rFonts w:ascii="Times New Roman" w:hAnsi="Times New Roman"/>
          <w:color w:val="000000" w:themeColor="text1"/>
          <w:sz w:val="28"/>
          <w:szCs w:val="28"/>
        </w:rPr>
        <w:t>Відповідно до частини першої статті 37 К</w:t>
      </w:r>
      <w:r>
        <w:rPr>
          <w:rFonts w:ascii="Times New Roman" w:hAnsi="Times New Roman"/>
          <w:color w:val="000000" w:themeColor="text1"/>
          <w:sz w:val="28"/>
          <w:szCs w:val="28"/>
        </w:rPr>
        <w:t>ПК</w:t>
      </w:r>
      <w:r w:rsidRPr="000002BA">
        <w:rPr>
          <w:rFonts w:ascii="Times New Roman" w:hAnsi="Times New Roman"/>
          <w:color w:val="000000" w:themeColor="text1"/>
          <w:sz w:val="28"/>
          <w:szCs w:val="28"/>
        </w:rPr>
        <w:t xml:space="preserve"> України прокурор, який здійснює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має право визначити групу прокурорів, які здійснюватимуть повноваження прокурорів у відповідному кримінальному провадженні, а також визначити старшого прокурора такої групи.</w:t>
      </w:r>
    </w:p>
    <w:p w14:paraId="4C233002" w14:textId="77777777" w:rsidR="006108DE" w:rsidRPr="000002BA"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0002BA">
        <w:rPr>
          <w:rFonts w:ascii="Times New Roman" w:hAnsi="Times New Roman"/>
          <w:color w:val="000000" w:themeColor="text1"/>
          <w:sz w:val="28"/>
          <w:szCs w:val="28"/>
        </w:rPr>
        <w:t>Зазначена норма кримінального процесуального законодавства не встановлює конкретного строку, протягом якого керівник органу прокуратури зобов’язаний прийняти постанову про визначення прокурора або групи прокурорів, а лише передбачає, що таке рішення ухвалюється після початку досудового розслідування. Відтак винесення постанови про визначення групи прокурорів 06 липня 2025 року не суперечить вимогам статті 37 КПК України та саме по собі не може свідчити про порушення кримінального процесуального закону.</w:t>
      </w:r>
    </w:p>
    <w:p w14:paraId="7CF59A15" w14:textId="77777777" w:rsidR="006108DE" w:rsidRPr="000002BA"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0002BA">
        <w:rPr>
          <w:rFonts w:ascii="Times New Roman" w:hAnsi="Times New Roman"/>
          <w:color w:val="000000" w:themeColor="text1"/>
          <w:sz w:val="28"/>
          <w:szCs w:val="28"/>
        </w:rPr>
        <w:t xml:space="preserve">Посилання скаржниці на відсутність дати винесення постанови про визначення групи прокурорів спростовуються матеріалами, доданими до дисциплінарної скарги, а саме копією відповідної постанови, у якій чітко зазначено дату її прийняття </w:t>
      </w:r>
      <w:r>
        <w:rPr>
          <w:rFonts w:ascii="Times New Roman" w:hAnsi="Times New Roman"/>
          <w:color w:val="000000" w:themeColor="text1"/>
          <w:sz w:val="28"/>
          <w:szCs w:val="28"/>
        </w:rPr>
        <w:t xml:space="preserve">- </w:t>
      </w:r>
      <w:r w:rsidRPr="000002BA">
        <w:rPr>
          <w:rFonts w:ascii="Times New Roman" w:hAnsi="Times New Roman"/>
          <w:color w:val="000000" w:themeColor="text1"/>
          <w:sz w:val="28"/>
          <w:szCs w:val="28"/>
        </w:rPr>
        <w:t>06 липня 2025 року.</w:t>
      </w:r>
    </w:p>
    <w:p w14:paraId="75252444" w14:textId="77777777" w:rsidR="006108DE"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88284A">
        <w:rPr>
          <w:rFonts w:ascii="Times New Roman" w:hAnsi="Times New Roman"/>
          <w:color w:val="000000" w:themeColor="text1"/>
          <w:sz w:val="28"/>
          <w:szCs w:val="28"/>
        </w:rPr>
        <w:t xml:space="preserve">Що стосується доводів скаржниці щодо відсутності реєстраційного номера постанови, слід зазначити, що з’ясування питань, пов’язаних із реєстрацією процесуальних документів, не належить до повноважень члена Комісії та не впливає на оцінку законності відповідної постанови. </w:t>
      </w:r>
    </w:p>
    <w:p w14:paraId="2CED42A9" w14:textId="77777777" w:rsidR="006108DE"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88284A">
        <w:rPr>
          <w:rFonts w:ascii="Times New Roman" w:hAnsi="Times New Roman"/>
          <w:color w:val="000000" w:themeColor="text1"/>
          <w:sz w:val="28"/>
          <w:szCs w:val="28"/>
        </w:rPr>
        <w:t xml:space="preserve">Водночас, з метою повноти розгляду скарги, варто зауважити, що відповідно до положень статті 110 </w:t>
      </w:r>
      <w:r>
        <w:rPr>
          <w:rFonts w:ascii="Times New Roman" w:hAnsi="Times New Roman"/>
          <w:color w:val="000000" w:themeColor="text1"/>
          <w:sz w:val="28"/>
          <w:szCs w:val="28"/>
        </w:rPr>
        <w:t>КПК</w:t>
      </w:r>
      <w:r w:rsidRPr="0088284A">
        <w:rPr>
          <w:rFonts w:ascii="Times New Roman" w:hAnsi="Times New Roman"/>
          <w:color w:val="000000" w:themeColor="text1"/>
          <w:sz w:val="28"/>
          <w:szCs w:val="28"/>
        </w:rPr>
        <w:t xml:space="preserve"> України, постанова слідчого, </w:t>
      </w:r>
      <w:proofErr w:type="spellStart"/>
      <w:r w:rsidRPr="0088284A">
        <w:rPr>
          <w:rFonts w:ascii="Times New Roman" w:hAnsi="Times New Roman"/>
          <w:color w:val="000000" w:themeColor="text1"/>
          <w:sz w:val="28"/>
          <w:szCs w:val="28"/>
        </w:rPr>
        <w:t>дізнавача</w:t>
      </w:r>
      <w:proofErr w:type="spellEnd"/>
      <w:r w:rsidRPr="0088284A">
        <w:rPr>
          <w:rFonts w:ascii="Times New Roman" w:hAnsi="Times New Roman"/>
          <w:color w:val="000000" w:themeColor="text1"/>
          <w:sz w:val="28"/>
          <w:szCs w:val="28"/>
        </w:rPr>
        <w:t xml:space="preserve"> або прокурора є процесуальним рішенням, яке складається у письмовій формі на офіційному бланку та підписується уповноваженою службовою особою. </w:t>
      </w:r>
    </w:p>
    <w:p w14:paraId="25230DE9" w14:textId="77777777" w:rsidR="006108DE"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88284A">
        <w:rPr>
          <w:rFonts w:ascii="Times New Roman" w:hAnsi="Times New Roman"/>
          <w:color w:val="000000" w:themeColor="text1"/>
          <w:sz w:val="28"/>
          <w:szCs w:val="28"/>
        </w:rPr>
        <w:t xml:space="preserve">У постанові обов’язково зазначаються місце і час її прийняття, а також прізвище, ім’я, по батькові та посада особи, яка її винесла. Зміст постанови має бути обґрунтований із викладенням обставин, що стали підставою для її прийняття, із посиланням на положення КПК України. У резолютивній частині постанови визначається зміст прийнятого процесуального рішення, строки та, за потреби, місце його виконання, зазначається особа, відповідальна за виконання, </w:t>
      </w:r>
      <w:r w:rsidRPr="0088284A">
        <w:rPr>
          <w:rFonts w:ascii="Times New Roman" w:hAnsi="Times New Roman"/>
          <w:color w:val="000000" w:themeColor="text1"/>
          <w:sz w:val="28"/>
          <w:szCs w:val="28"/>
        </w:rPr>
        <w:lastRenderedPageBreak/>
        <w:t>а також надається інформація про можливість і порядок її оскарження. При цьому вимога щодо обов’язкового зазначення реєстраційного номера постанови у чинному законодавстві відсутня. Натомість наявність дати і місця прийняття є обов’язковою умовою її належного оформлення. У зазначеній постанові такі відомості, зокрема дата її прийняття, наявні, всупереч твердженням скаржниці, яка акцентувала увагу на її нібито відсутності.</w:t>
      </w:r>
    </w:p>
    <w:p w14:paraId="4CD9662E" w14:textId="77777777" w:rsidR="006108DE"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0002BA">
        <w:rPr>
          <w:rFonts w:ascii="Times New Roman" w:hAnsi="Times New Roman"/>
          <w:color w:val="000000" w:themeColor="text1"/>
          <w:sz w:val="28"/>
          <w:szCs w:val="28"/>
        </w:rPr>
        <w:t>Інші мотиви та аргументи щодо дій</w:t>
      </w:r>
      <w:r>
        <w:rPr>
          <w:rFonts w:ascii="Times New Roman" w:hAnsi="Times New Roman"/>
          <w:color w:val="000000" w:themeColor="text1"/>
          <w:sz w:val="28"/>
          <w:szCs w:val="28"/>
        </w:rPr>
        <w:t xml:space="preserve"> </w:t>
      </w:r>
      <w:r w:rsidRPr="000002BA">
        <w:rPr>
          <w:rFonts w:ascii="Times New Roman" w:hAnsi="Times New Roman"/>
          <w:color w:val="000000" w:themeColor="text1"/>
          <w:sz w:val="28"/>
          <w:szCs w:val="28"/>
        </w:rPr>
        <w:t>прокурор</w:t>
      </w:r>
      <w:r>
        <w:rPr>
          <w:rFonts w:ascii="Times New Roman" w:hAnsi="Times New Roman"/>
          <w:color w:val="000000" w:themeColor="text1"/>
          <w:sz w:val="28"/>
          <w:szCs w:val="28"/>
        </w:rPr>
        <w:t xml:space="preserve">а </w:t>
      </w:r>
      <w:r w:rsidRPr="000002BA">
        <w:rPr>
          <w:rFonts w:ascii="Times New Roman" w:hAnsi="Times New Roman"/>
          <w:color w:val="000000" w:themeColor="text1"/>
          <w:sz w:val="28"/>
          <w:szCs w:val="28"/>
        </w:rPr>
        <w:t>зводяться до тлумачення норм законодавства з посиланням на власну оцінку</w:t>
      </w:r>
      <w:r>
        <w:rPr>
          <w:rFonts w:ascii="Times New Roman" w:hAnsi="Times New Roman"/>
          <w:color w:val="000000" w:themeColor="text1"/>
          <w:sz w:val="28"/>
          <w:szCs w:val="28"/>
        </w:rPr>
        <w:t xml:space="preserve"> </w:t>
      </w:r>
      <w:r w:rsidRPr="000002BA">
        <w:rPr>
          <w:rFonts w:ascii="Times New Roman" w:hAnsi="Times New Roman"/>
          <w:color w:val="000000" w:themeColor="text1"/>
          <w:sz w:val="28"/>
          <w:szCs w:val="28"/>
        </w:rPr>
        <w:t>обставин справи.</w:t>
      </w:r>
    </w:p>
    <w:p w14:paraId="4B31D7F0" w14:textId="77777777" w:rsidR="006108DE" w:rsidRDefault="006108DE" w:rsidP="006108D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80386">
        <w:rPr>
          <w:rFonts w:ascii="Times New Roman" w:hAnsi="Times New Roman"/>
          <w:color w:val="000000" w:themeColor="text1"/>
          <w:sz w:val="28"/>
          <w:szCs w:val="28"/>
        </w:rPr>
        <w:t xml:space="preserve">На підставі викладеного вважаю, що дисциплінарна скарга не містить конкретних відомостей, які свідчили б про наявність у діях прокурора </w:t>
      </w:r>
      <w:r>
        <w:rPr>
          <w:rFonts w:ascii="Times New Roman" w:hAnsi="Times New Roman"/>
          <w:color w:val="000000" w:themeColor="text1"/>
          <w:sz w:val="28"/>
          <w:szCs w:val="28"/>
        </w:rPr>
        <w:br/>
      </w:r>
      <w:proofErr w:type="spellStart"/>
      <w:r w:rsidRPr="00F80386">
        <w:rPr>
          <w:rFonts w:ascii="Times New Roman" w:hAnsi="Times New Roman"/>
          <w:color w:val="000000" w:themeColor="text1"/>
          <w:sz w:val="28"/>
          <w:szCs w:val="28"/>
        </w:rPr>
        <w:t>Алекаєва</w:t>
      </w:r>
      <w:proofErr w:type="spellEnd"/>
      <w:r w:rsidRPr="00F80386">
        <w:rPr>
          <w:rFonts w:ascii="Times New Roman" w:hAnsi="Times New Roman"/>
          <w:color w:val="000000" w:themeColor="text1"/>
          <w:sz w:val="28"/>
          <w:szCs w:val="28"/>
        </w:rPr>
        <w:t xml:space="preserve"> Ю.</w:t>
      </w:r>
      <w:r>
        <w:rPr>
          <w:rFonts w:ascii="Times New Roman" w:hAnsi="Times New Roman"/>
          <w:color w:val="000000" w:themeColor="text1"/>
          <w:sz w:val="28"/>
          <w:szCs w:val="28"/>
        </w:rPr>
        <w:t>В.</w:t>
      </w:r>
      <w:r w:rsidRPr="00F80386">
        <w:rPr>
          <w:rFonts w:ascii="Times New Roman" w:hAnsi="Times New Roman"/>
          <w:color w:val="000000" w:themeColor="text1"/>
          <w:sz w:val="28"/>
          <w:szCs w:val="28"/>
        </w:rPr>
        <w:t xml:space="preserve"> ознак дисциплінарного проступку, передбаченого пунктами 1, 5, 7, 8 частини першої статті 43 Закону України «Про прокуратуру».</w:t>
      </w:r>
      <w:r>
        <w:rPr>
          <w:rFonts w:ascii="Times New Roman" w:hAnsi="Times New Roman"/>
          <w:color w:val="000000" w:themeColor="text1"/>
          <w:sz w:val="28"/>
          <w:szCs w:val="28"/>
        </w:rPr>
        <w:t xml:space="preserve"> </w:t>
      </w:r>
    </w:p>
    <w:p w14:paraId="5235FB3C" w14:textId="77777777" w:rsidR="006108DE" w:rsidRPr="00E51D24" w:rsidRDefault="006108DE" w:rsidP="006108D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BF41FF5" w14:textId="77777777" w:rsidR="006108DE" w:rsidRPr="007E0F45" w:rsidRDefault="006108DE" w:rsidP="006108DE">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5F7B012C" w14:textId="77777777" w:rsidR="006108DE" w:rsidRPr="007E0F45" w:rsidRDefault="006108DE" w:rsidP="006108DE">
      <w:pPr>
        <w:widowControl w:val="0"/>
        <w:spacing w:after="0" w:line="240" w:lineRule="auto"/>
        <w:contextualSpacing/>
        <w:jc w:val="center"/>
        <w:rPr>
          <w:rFonts w:ascii="Times New Roman" w:hAnsi="Times New Roman"/>
          <w:b/>
          <w:color w:val="000000" w:themeColor="text1"/>
          <w:sz w:val="28"/>
          <w:szCs w:val="28"/>
        </w:rPr>
      </w:pPr>
    </w:p>
    <w:p w14:paraId="0CE8E8E7" w14:textId="77777777" w:rsidR="006108DE" w:rsidRPr="007E0F45" w:rsidRDefault="006108DE" w:rsidP="006108D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 xml:space="preserve">першого заступника </w:t>
      </w:r>
      <w:proofErr w:type="spellStart"/>
      <w:r>
        <w:rPr>
          <w:rFonts w:ascii="Times New Roman" w:hAnsi="Times New Roman"/>
          <w:sz w:val="28"/>
          <w:szCs w:val="28"/>
        </w:rPr>
        <w:t>Немишлянської</w:t>
      </w:r>
      <w:proofErr w:type="spellEnd"/>
      <w:r>
        <w:rPr>
          <w:rFonts w:ascii="Times New Roman" w:hAnsi="Times New Roman"/>
          <w:sz w:val="28"/>
          <w:szCs w:val="28"/>
        </w:rPr>
        <w:t xml:space="preserve"> окружної прокуратури міста Харкова </w:t>
      </w:r>
      <w:proofErr w:type="spellStart"/>
      <w:r>
        <w:rPr>
          <w:rFonts w:ascii="Times New Roman" w:hAnsi="Times New Roman"/>
          <w:sz w:val="28"/>
          <w:szCs w:val="28"/>
        </w:rPr>
        <w:t>Алекаєва</w:t>
      </w:r>
      <w:proofErr w:type="spellEnd"/>
      <w:r>
        <w:rPr>
          <w:rFonts w:ascii="Times New Roman" w:hAnsi="Times New Roman"/>
          <w:sz w:val="28"/>
          <w:szCs w:val="28"/>
        </w:rPr>
        <w:t xml:space="preserve"> Юрія Вікторовича.</w:t>
      </w:r>
    </w:p>
    <w:p w14:paraId="5E3B9951" w14:textId="77777777" w:rsidR="006108DE" w:rsidRPr="007E0F45" w:rsidRDefault="006108DE" w:rsidP="006108D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скаржниці</w:t>
      </w:r>
      <w:r w:rsidRPr="007E0F45">
        <w:rPr>
          <w:rFonts w:ascii="Times New Roman" w:hAnsi="Times New Roman"/>
          <w:color w:val="000000" w:themeColor="text1"/>
          <w:sz w:val="28"/>
          <w:szCs w:val="28"/>
        </w:rPr>
        <w:t xml:space="preserve"> та прокурору.</w:t>
      </w:r>
    </w:p>
    <w:p w14:paraId="2F75A97E" w14:textId="77777777" w:rsidR="006108DE" w:rsidRPr="007E0F45" w:rsidRDefault="006108DE" w:rsidP="006108DE">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FF42449" w14:textId="77777777" w:rsidR="006108DE" w:rsidRPr="007E0F45" w:rsidRDefault="006108DE" w:rsidP="006108DE">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420D25E" w14:textId="77777777" w:rsidR="006108DE" w:rsidRPr="007E0F45" w:rsidRDefault="006108DE" w:rsidP="006108DE">
      <w:pPr>
        <w:rPr>
          <w:color w:val="000000" w:themeColor="text1"/>
        </w:rPr>
      </w:pPr>
    </w:p>
    <w:p w14:paraId="5A3355C9" w14:textId="77777777" w:rsidR="006108DE" w:rsidRPr="007E0F45" w:rsidRDefault="006108DE" w:rsidP="006108D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7E6EE099" w14:textId="77777777" w:rsidR="006108DE" w:rsidRDefault="006108DE" w:rsidP="006108DE"/>
    <w:p w14:paraId="57D723AE" w14:textId="77777777" w:rsidR="00A31F50" w:rsidRDefault="00A31F50"/>
    <w:sectPr w:rsidR="00A31F50"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71B38F38" w14:textId="77777777" w:rsidR="00584575" w:rsidRDefault="006108DE">
        <w:pPr>
          <w:pStyle w:val="a5"/>
          <w:jc w:val="center"/>
        </w:pPr>
        <w:r>
          <w:fldChar w:fldCharType="begin"/>
        </w:r>
        <w:r>
          <w:instrText>PAGE   \* MERGEFORMAT</w:instrText>
        </w:r>
        <w:r>
          <w:fldChar w:fldCharType="separate"/>
        </w:r>
        <w:r>
          <w:t>2</w:t>
        </w:r>
        <w:r>
          <w:fldChar w:fldCharType="end"/>
        </w:r>
      </w:p>
    </w:sdtContent>
  </w:sdt>
  <w:p w14:paraId="108A4664" w14:textId="77777777" w:rsidR="00584575" w:rsidRDefault="006108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DE"/>
    <w:rsid w:val="006108DE"/>
    <w:rsid w:val="00A31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2BE8"/>
  <w15:chartTrackingRefBased/>
  <w15:docId w15:val="{84502679-420D-4B30-AB06-C2F564AA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8DE"/>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8DE"/>
    <w:pPr>
      <w:ind w:left="720"/>
      <w:contextualSpacing/>
    </w:pPr>
  </w:style>
  <w:style w:type="paragraph" w:styleId="a4">
    <w:name w:val="No Spacing"/>
    <w:uiPriority w:val="1"/>
    <w:qFormat/>
    <w:rsid w:val="006108DE"/>
    <w:pPr>
      <w:spacing w:after="0" w:line="240" w:lineRule="auto"/>
    </w:pPr>
    <w:rPr>
      <w:rFonts w:ascii="Calibri" w:eastAsia="Calibri" w:hAnsi="Calibri" w:cs="Times New Roman"/>
      <w:sz w:val="22"/>
    </w:rPr>
  </w:style>
  <w:style w:type="paragraph" w:customStyle="1" w:styleId="rvps2">
    <w:name w:val="rvps2"/>
    <w:basedOn w:val="a"/>
    <w:rsid w:val="006108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6108DE"/>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108D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9014</Words>
  <Characters>5139</Characters>
  <DocSecurity>0</DocSecurity>
  <Lines>42</Lines>
  <Paragraphs>28</Paragraphs>
  <ScaleCrop>false</ScaleCrop>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2025-12-26T08:50:00Z</dcterms:created>
  <dcterms:modified xsi:type="dcterms:W3CDTF">2025-12-26T08:52:00Z</dcterms:modified>
</cp:coreProperties>
</file>