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918A" w14:textId="77777777" w:rsidR="00B85A80" w:rsidRPr="007E0F45" w:rsidRDefault="00B85A80" w:rsidP="00C12E4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color w:val="000000" w:themeColor="text1"/>
          <w:sz w:val="26"/>
          <w:szCs w:val="20"/>
          <w:lang w:eastAsia="ru-RU"/>
        </w:rPr>
      </w:pPr>
      <w:r w:rsidRPr="007E0F45">
        <w:rPr>
          <w:rFonts w:ascii="Times New Roman" w:eastAsia="Times New Roman" w:hAnsi="Times New Roman"/>
          <w:noProof/>
          <w:color w:val="000000" w:themeColor="text1"/>
          <w:sz w:val="19"/>
          <w:szCs w:val="20"/>
          <w:lang w:val="ru-RU" w:eastAsia="ru-RU"/>
        </w:rPr>
        <w:drawing>
          <wp:inline distT="0" distB="0" distL="0" distR="0" wp14:anchorId="1E33DB40" wp14:editId="466EE1AB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73A5E" w14:textId="77777777" w:rsidR="00B85A80" w:rsidRPr="007E0F45" w:rsidRDefault="00B85A80" w:rsidP="00C12E4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10"/>
          <w:szCs w:val="20"/>
          <w:lang w:eastAsia="ru-RU"/>
        </w:rPr>
      </w:pPr>
    </w:p>
    <w:p w14:paraId="2FF6FCD2" w14:textId="77777777" w:rsidR="00B85A80" w:rsidRPr="007E0F45" w:rsidRDefault="00B85A80" w:rsidP="00C12E4D">
      <w:pPr>
        <w:jc w:val="center"/>
        <w:rPr>
          <w:rFonts w:ascii="Times New Roman" w:eastAsia="Times New Roman" w:hAnsi="Times New Roman"/>
          <w:color w:val="000000" w:themeColor="text1"/>
          <w:kern w:val="28"/>
          <w:sz w:val="32"/>
          <w:szCs w:val="32"/>
          <w:lang w:eastAsia="ru-RU"/>
        </w:rPr>
      </w:pPr>
      <w:r w:rsidRPr="007E0F45">
        <w:rPr>
          <w:rFonts w:ascii="Times New Roman" w:eastAsia="Times New Roman" w:hAnsi="Times New Roman"/>
          <w:bCs/>
          <w:color w:val="000000" w:themeColor="text1"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E0F45">
        <w:rPr>
          <w:rFonts w:ascii="Times New Roman" w:eastAsia="Times New Roman" w:hAnsi="Times New Roman"/>
          <w:bCs/>
          <w:color w:val="000000" w:themeColor="text1"/>
          <w:kern w:val="28"/>
          <w:sz w:val="36"/>
          <w:szCs w:val="32"/>
          <w:lang w:eastAsia="ru-RU"/>
        </w:rPr>
        <w:br/>
        <w:t>КОМІСІЯ ПРОКУРОРІВ</w:t>
      </w:r>
    </w:p>
    <w:p w14:paraId="314DC182" w14:textId="77777777" w:rsidR="00B85A80" w:rsidRDefault="00B85A80" w:rsidP="00C12E4D">
      <w:pPr>
        <w:jc w:val="center"/>
        <w:rPr>
          <w:rFonts w:ascii="Times New Roman" w:eastAsia="Times New Roman" w:hAnsi="Times New Roman"/>
          <w:color w:val="000000" w:themeColor="text1"/>
          <w:kern w:val="28"/>
          <w:sz w:val="28"/>
          <w:szCs w:val="28"/>
          <w:lang w:eastAsia="uk-UA"/>
        </w:rPr>
      </w:pPr>
    </w:p>
    <w:p w14:paraId="0F055B11" w14:textId="77777777" w:rsidR="00B85A80" w:rsidRPr="007E0F45" w:rsidRDefault="00B85A80" w:rsidP="00C12E4D">
      <w:pPr>
        <w:jc w:val="center"/>
        <w:rPr>
          <w:rFonts w:ascii="Times New Roman" w:eastAsia="Times New Roman" w:hAnsi="Times New Roman"/>
          <w:color w:val="000000" w:themeColor="text1"/>
          <w:kern w:val="28"/>
          <w:sz w:val="28"/>
          <w:szCs w:val="28"/>
          <w:lang w:eastAsia="uk-UA"/>
        </w:rPr>
      </w:pPr>
    </w:p>
    <w:p w14:paraId="5B834F8D" w14:textId="77777777" w:rsidR="00B85A80" w:rsidRPr="007E0F45" w:rsidRDefault="00B85A80" w:rsidP="00C12E4D">
      <w:pPr>
        <w:jc w:val="center"/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  <w:r w:rsidRPr="007E0F45"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E0F45"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Н</w:t>
      </w:r>
      <w:proofErr w:type="spellEnd"/>
      <w:r w:rsidRPr="007E0F45"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Я</w:t>
      </w:r>
    </w:p>
    <w:p w14:paraId="7CC3D88E" w14:textId="77777777" w:rsidR="00C12E4D" w:rsidRDefault="00C12E4D" w:rsidP="00AC06A6">
      <w:pPr>
        <w:jc w:val="both"/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</w:p>
    <w:p w14:paraId="3DE48FAF" w14:textId="77777777" w:rsidR="00B85A80" w:rsidRPr="007E0F45" w:rsidRDefault="00B85A80" w:rsidP="00AC06A6">
      <w:pPr>
        <w:jc w:val="both"/>
        <w:rPr>
          <w:rFonts w:ascii="Times New Roman" w:eastAsia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B85A80" w:rsidRPr="007E0F45" w14:paraId="01496869" w14:textId="77777777" w:rsidTr="007171E1">
        <w:trPr>
          <w:trHeight w:val="460"/>
        </w:trPr>
        <w:tc>
          <w:tcPr>
            <w:tcW w:w="1765" w:type="pct"/>
            <w:hideMark/>
          </w:tcPr>
          <w:p w14:paraId="0468FF4D" w14:textId="5C205431" w:rsidR="00B85A80" w:rsidRPr="00A46FAC" w:rsidRDefault="00B85A80" w:rsidP="00A46FAC">
            <w:pPr>
              <w:ind w:left="-109"/>
              <w:jc w:val="both"/>
              <w:rPr>
                <w:rFonts w:ascii="Times New Roman" w:eastAsia="Times New Roman" w:hAnsi="Times New Roman"/>
                <w:b/>
                <w:color w:val="EE0000"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A46FAC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>2</w:t>
            </w:r>
            <w:r w:rsidR="00A46FAC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>4</w:t>
            </w:r>
            <w:r w:rsidRPr="00A46FAC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жовтня 2025 року</w:t>
            </w:r>
          </w:p>
        </w:tc>
        <w:tc>
          <w:tcPr>
            <w:tcW w:w="1471" w:type="pct"/>
            <w:hideMark/>
          </w:tcPr>
          <w:p w14:paraId="4B16CE77" w14:textId="77777777" w:rsidR="00B85A80" w:rsidRPr="007E0F45" w:rsidRDefault="00B85A80" w:rsidP="00C12E4D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E0F45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44FB8C7D" w14:textId="75F4114F" w:rsidR="00B85A80" w:rsidRPr="007E0F45" w:rsidRDefault="00B85A80" w:rsidP="00AC06A6">
            <w:pPr>
              <w:ind w:firstLine="56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E0F45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</w:t>
            </w:r>
            <w:r w:rsidR="00A46FAC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</w:t>
            </w:r>
            <w:r w:rsidRPr="007E0F45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>№ 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>122</w:t>
            </w:r>
            <w:r w:rsidRPr="007E0F45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дс-25 </w:t>
            </w:r>
          </w:p>
        </w:tc>
      </w:tr>
    </w:tbl>
    <w:p w14:paraId="6A97CF56" w14:textId="77777777" w:rsidR="00C12E4D" w:rsidRPr="007E0F45" w:rsidRDefault="00C12E4D" w:rsidP="00AC06A6">
      <w:pPr>
        <w:widowControl w:val="0"/>
        <w:contextualSpacing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</w:pPr>
    </w:p>
    <w:p w14:paraId="7B65E906" w14:textId="77777777" w:rsidR="00B85A80" w:rsidRPr="007E0F45" w:rsidRDefault="00B85A80" w:rsidP="00AC06A6">
      <w:pPr>
        <w:widowControl w:val="0"/>
        <w:contextualSpacing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</w:pPr>
      <w:r w:rsidRPr="007E0F45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w:t xml:space="preserve">Про відмову у відкритті </w:t>
      </w:r>
    </w:p>
    <w:p w14:paraId="0FA9858A" w14:textId="77777777" w:rsidR="00B85A80" w:rsidRPr="007E0F45" w:rsidRDefault="00B85A80" w:rsidP="00AC06A6">
      <w:pPr>
        <w:widowControl w:val="0"/>
        <w:contextualSpacing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</w:pPr>
      <w:r w:rsidRPr="007E0F45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w:t>дисциплінарного провадження</w:t>
      </w:r>
    </w:p>
    <w:p w14:paraId="6815D82F" w14:textId="77777777" w:rsidR="00C12E4D" w:rsidRPr="007E0F45" w:rsidRDefault="00C12E4D" w:rsidP="00AC06A6">
      <w:pPr>
        <w:widowControl w:val="0"/>
        <w:contextualSpacing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</w:pPr>
    </w:p>
    <w:p w14:paraId="002D7E98" w14:textId="0B9EE746" w:rsidR="00B85A80" w:rsidRDefault="00B85A80" w:rsidP="00A46FAC">
      <w:pPr>
        <w:pStyle w:val="ae"/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Радзівон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М.О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., розглянувши дисциплінарну </w:t>
      </w:r>
      <w:bookmarkStart w:id="0" w:name="_Hlk124933696"/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скаргу </w:t>
      </w:r>
      <w:bookmarkStart w:id="1" w:name="_Hlk136879804"/>
      <w:bookmarkEnd w:id="0"/>
      <w:r w:rsidR="007B2D1F">
        <w:rPr>
          <w:rFonts w:ascii="Times New Roman" w:hAnsi="Times New Roman"/>
          <w:color w:val="000000" w:themeColor="text1"/>
          <w:sz w:val="28"/>
          <w:szCs w:val="28"/>
        </w:rPr>
        <w:t>Особа 1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"/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стосовно прокурора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Біляївської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окружної прокуратури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Одеської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області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Осадчої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Олени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Олександрівни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2B135B96" w14:textId="77777777" w:rsidR="007B2D1F" w:rsidRPr="007E0F45" w:rsidRDefault="007B2D1F" w:rsidP="00A46FAC">
      <w:pPr>
        <w:pStyle w:val="ae"/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5E3920" w14:textId="77777777" w:rsidR="00B85A80" w:rsidRPr="007E0F45" w:rsidRDefault="00B85A80" w:rsidP="00C12E4D">
      <w:pPr>
        <w:widowControl w:val="0"/>
        <w:tabs>
          <w:tab w:val="left" w:pos="993"/>
        </w:tabs>
        <w:ind w:firstLine="567"/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</w:pPr>
      <w:r w:rsidRPr="007E0F45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w:t>УСТАНОВИВ:</w:t>
      </w:r>
    </w:p>
    <w:p w14:paraId="75C26B65" w14:textId="77777777" w:rsidR="00B85A80" w:rsidRPr="007E0F45" w:rsidRDefault="00B85A80" w:rsidP="00C12E4D">
      <w:pPr>
        <w:widowControl w:val="0"/>
        <w:tabs>
          <w:tab w:val="left" w:pos="993"/>
        </w:tabs>
        <w:ind w:firstLine="567"/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</w:pPr>
    </w:p>
    <w:p w14:paraId="3E9F0A23" w14:textId="77777777" w:rsidR="00B85A80" w:rsidRPr="007E0F45" w:rsidRDefault="00B85A80" w:rsidP="00AC06A6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b/>
          <w:color w:val="000000" w:themeColor="text1"/>
          <w:sz w:val="28"/>
          <w:szCs w:val="28"/>
        </w:rPr>
        <w:t>Інформація про зміст скарги</w:t>
      </w:r>
    </w:p>
    <w:p w14:paraId="7654B1B6" w14:textId="77777777" w:rsidR="00B85A80" w:rsidRPr="007E0F45" w:rsidRDefault="00B85A80" w:rsidP="00AC06A6">
      <w:pPr>
        <w:widowControl w:val="0"/>
        <w:tabs>
          <w:tab w:val="left" w:pos="851"/>
          <w:tab w:val="left" w:pos="993"/>
        </w:tabs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A327A85" w14:textId="4DAB9114" w:rsidR="00B85A80" w:rsidRDefault="00B85A80" w:rsidP="00AC06A6">
      <w:pPr>
        <w:pStyle w:val="ae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До Кваліфікаційно-дисциплінарної комісії прокурорів (далі – Комісія, КДКП) надійшла дисциплінарна скарга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Особа 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про вчинення дисциплінарного проступку прокурором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Осадчою О.О.</w:t>
      </w:r>
    </w:p>
    <w:p w14:paraId="6D930D44" w14:textId="29E1271E" w:rsidR="00B85A80" w:rsidRDefault="00B85A80" w:rsidP="00AC06A6">
      <w:pPr>
        <w:pStyle w:val="ae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7E0F45">
        <w:rPr>
          <w:rFonts w:ascii="Times New Roman" w:hAnsi="Times New Roman"/>
          <w:color w:val="000000" w:themeColor="text1"/>
          <w:sz w:val="28"/>
          <w:szCs w:val="28"/>
        </w:rPr>
        <w:t>розподілено</w:t>
      </w:r>
      <w:proofErr w:type="spellEnd"/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мені (протокол розподілу від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>жовтня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2025 року). </w:t>
      </w:r>
    </w:p>
    <w:p w14:paraId="3D70D873" w14:textId="77777777" w:rsidR="00B85A80" w:rsidRPr="007E0F45" w:rsidRDefault="00B85A80" w:rsidP="00AC06A6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4467210" w14:textId="2D1DACE8" w:rsidR="0037377B" w:rsidRDefault="00B85A80" w:rsidP="00AC06A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Автор скарги зазнач</w:t>
      </w:r>
      <w:r w:rsidR="00D34B74">
        <w:rPr>
          <w:rFonts w:ascii="Times New Roman" w:hAnsi="Times New Roman"/>
          <w:color w:val="000000" w:themeColor="text1"/>
          <w:sz w:val="28"/>
          <w:szCs w:val="28"/>
        </w:rPr>
        <w:t>ив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 xml:space="preserve"> що прокурором Осадчою О.О. здійснюється процесуальне керівництво досудовим розслідуванням у </w:t>
      </w:r>
      <w:r w:rsidR="005978F5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5978F5" w:rsidRPr="00A46FAC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="005978F5">
        <w:rPr>
          <w:rFonts w:ascii="Times New Roman" w:hAnsi="Times New Roman"/>
          <w:color w:val="000000" w:themeColor="text1"/>
          <w:sz w:val="28"/>
          <w:szCs w:val="28"/>
        </w:rPr>
        <w:t xml:space="preserve">єднаному </w:t>
      </w:r>
      <w:r w:rsidR="00443635">
        <w:rPr>
          <w:rFonts w:ascii="Times New Roman" w:hAnsi="Times New Roman"/>
          <w:color w:val="000000" w:themeColor="text1"/>
          <w:sz w:val="28"/>
          <w:szCs w:val="28"/>
        </w:rPr>
        <w:t xml:space="preserve">кримінальному провадженні №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 w:rsidR="005978F5">
        <w:rPr>
          <w:rFonts w:ascii="Times New Roman" w:hAnsi="Times New Roman"/>
          <w:color w:val="000000" w:themeColor="text1"/>
          <w:sz w:val="28"/>
          <w:szCs w:val="28"/>
        </w:rPr>
        <w:t xml:space="preserve">, в якому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Особа 1</w:t>
      </w:r>
      <w:r w:rsidR="005978F5">
        <w:rPr>
          <w:rFonts w:ascii="Times New Roman" w:hAnsi="Times New Roman"/>
          <w:color w:val="000000" w:themeColor="text1"/>
          <w:sz w:val="28"/>
          <w:szCs w:val="28"/>
        </w:rPr>
        <w:t xml:space="preserve"> є потерпілою стороною.</w:t>
      </w:r>
    </w:p>
    <w:p w14:paraId="39396605" w14:textId="1E8C294B" w:rsidR="00A46FAC" w:rsidRDefault="00A46FAC" w:rsidP="00A46FAC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Постановою прокурора Осадчої О.О. від 23 травня 2025 року об</w:t>
      </w:r>
      <w:r w:rsidRPr="00A46FAC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</w:rPr>
        <w:t>єднано кримінальні провадження №</w:t>
      </w:r>
      <w:r w:rsidRPr="00A46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№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одне кримінальне провадження №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 w:themeColor="text1"/>
          <w:sz w:val="28"/>
          <w:szCs w:val="28"/>
        </w:rPr>
        <w:t>. На думку скаржника, ця постанова винесена без об</w:t>
      </w:r>
      <w:r w:rsidRPr="00A46FAC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єктивної оцінки фактів події. </w:t>
      </w:r>
    </w:p>
    <w:p w14:paraId="443404EB" w14:textId="0E86C37A" w:rsidR="0037377B" w:rsidRDefault="00A46FAC" w:rsidP="00AC06A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Також с</w:t>
      </w:r>
      <w:r w:rsidR="0037377B">
        <w:rPr>
          <w:rFonts w:ascii="Times New Roman" w:hAnsi="Times New Roman"/>
          <w:color w:val="000000" w:themeColor="text1"/>
          <w:sz w:val="28"/>
          <w:szCs w:val="28"/>
        </w:rPr>
        <w:t>каржник вказ</w:t>
      </w:r>
      <w:r w:rsidR="00D34B74">
        <w:rPr>
          <w:rFonts w:ascii="Times New Roman" w:hAnsi="Times New Roman"/>
          <w:color w:val="000000" w:themeColor="text1"/>
          <w:sz w:val="28"/>
          <w:szCs w:val="28"/>
        </w:rPr>
        <w:t>ав</w:t>
      </w:r>
      <w:r w:rsidR="0037377B">
        <w:rPr>
          <w:rFonts w:ascii="Times New Roman" w:hAnsi="Times New Roman"/>
          <w:color w:val="000000" w:themeColor="text1"/>
          <w:sz w:val="28"/>
          <w:szCs w:val="28"/>
        </w:rPr>
        <w:t>, що прокурором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77B">
        <w:rPr>
          <w:rFonts w:ascii="Times New Roman" w:hAnsi="Times New Roman"/>
          <w:color w:val="000000" w:themeColor="text1"/>
          <w:sz w:val="28"/>
          <w:szCs w:val="28"/>
        </w:rPr>
        <w:t xml:space="preserve">Осадчою О.О. 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 xml:space="preserve">відмовлено в задоволенні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його 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>клопотан</w:t>
      </w:r>
      <w:r w:rsidR="00AC06A6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 xml:space="preserve"> від </w:t>
      </w:r>
      <w:r w:rsidR="00AC06A6">
        <w:rPr>
          <w:rFonts w:ascii="Times New Roman" w:hAnsi="Times New Roman"/>
          <w:color w:val="000000" w:themeColor="text1"/>
          <w:sz w:val="28"/>
          <w:szCs w:val="28"/>
        </w:rPr>
        <w:t xml:space="preserve">29 серпня та 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 xml:space="preserve">12 вересня 2025 року.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його 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 xml:space="preserve">думку,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вказані 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 xml:space="preserve">дії порушили норми матеріального та процесуального </w:t>
      </w:r>
      <w:r w:rsidR="00D34B74">
        <w:rPr>
          <w:rFonts w:ascii="Times New Roman" w:hAnsi="Times New Roman"/>
          <w:color w:val="000000" w:themeColor="text1"/>
          <w:sz w:val="28"/>
          <w:szCs w:val="28"/>
        </w:rPr>
        <w:t>права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>, адже прокурор Осадча О.О. не дотрим</w:t>
      </w:r>
      <w:r w:rsidR="00D34B74">
        <w:rPr>
          <w:rFonts w:ascii="Times New Roman" w:hAnsi="Times New Roman"/>
          <w:color w:val="000000" w:themeColor="text1"/>
          <w:sz w:val="28"/>
          <w:szCs w:val="28"/>
        </w:rPr>
        <w:t>алась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 xml:space="preserve"> об</w:t>
      </w:r>
      <w:r w:rsidR="005E4A9D" w:rsidRPr="00A46FAC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 xml:space="preserve">єктивності і неупередженості при 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розгляді обставин справи чим порушила законні права та інтереси скаржника. Внаслідок вказаних дій скаржник просив про відвід прокурора Осадчої О.О. в кримінальному провадженні №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(конфіденційна інформація)</w:t>
      </w:r>
      <w:r w:rsidR="005E4A9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C0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D6FC7A" w14:textId="05333260" w:rsidR="00FA3950" w:rsidRDefault="00FA3950" w:rsidP="00AC06A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 того ж, скаржник вказав на невиконання своїх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обов</w:t>
      </w:r>
      <w:proofErr w:type="spellEnd"/>
      <w:r w:rsidRPr="00A46FAC">
        <w:rPr>
          <w:rFonts w:ascii="Times New Roman" w:hAnsi="Times New Roman"/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язків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слідчим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слідчого відділу Одеського РУП №2 ГУ НП в Одеській області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Особа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На його переконання,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лідчий зловживав своїм службовим становищем,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вніс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офіційні документи завідомо неправдиві відомості,</w:t>
      </w:r>
      <w:r w:rsidR="002A07CF">
        <w:rPr>
          <w:rFonts w:ascii="Times New Roman" w:hAnsi="Times New Roman"/>
          <w:color w:val="000000" w:themeColor="text1"/>
          <w:sz w:val="28"/>
          <w:szCs w:val="28"/>
        </w:rPr>
        <w:t xml:space="preserve"> здійснив перекваліфікацію злочину незважаючи на обставини справи та всупереч показань скаржника.</w:t>
      </w:r>
    </w:p>
    <w:p w14:paraId="10BC8AC9" w14:textId="2154F3F4" w:rsidR="00C12E4D" w:rsidRDefault="00C12E4D" w:rsidP="00C12E4D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З огляду на викладене скаржник вважа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, що в діях прокурора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Осадчої О.О.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вбачаються ознаки дисциплінарного проступку та проси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 притягнути </w:t>
      </w:r>
      <w:r>
        <w:rPr>
          <w:rFonts w:ascii="Times New Roman" w:hAnsi="Times New Roman"/>
          <w:color w:val="000000" w:themeColor="text1"/>
          <w:sz w:val="28"/>
          <w:szCs w:val="28"/>
        </w:rPr>
        <w:t>її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до дисциплінарної відповідальності за невиконання чи неналежне виконання службових обов’язкі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6A3F6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772372" w14:textId="77777777" w:rsidR="00C12E4D" w:rsidRPr="00F254D8" w:rsidRDefault="00C12E4D" w:rsidP="00C12E4D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54D8">
        <w:rPr>
          <w:rFonts w:ascii="Times New Roman" w:hAnsi="Times New Roman"/>
          <w:b/>
          <w:color w:val="000000" w:themeColor="text1"/>
          <w:sz w:val="28"/>
          <w:szCs w:val="28"/>
        </w:rPr>
        <w:t>Щодо встановлених фактичних відомостей</w:t>
      </w:r>
    </w:p>
    <w:p w14:paraId="14979EFD" w14:textId="77777777" w:rsidR="00C12E4D" w:rsidRPr="00F254D8" w:rsidRDefault="00C12E4D" w:rsidP="00C12E4D">
      <w:pPr>
        <w:widowControl w:val="0"/>
        <w:tabs>
          <w:tab w:val="left" w:pos="851"/>
          <w:tab w:val="left" w:pos="993"/>
        </w:tabs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A876E9" w14:textId="17554604" w:rsidR="00C12E4D" w:rsidRDefault="00C12E4D" w:rsidP="0017144C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До дисциплінарної скарги долучено копії: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листа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>вської окружної прокуратури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Одеської області від 24 вересня 2025 року; листів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>вської окружної прокуратури Одеської області від 01 жовтня 2025 року; листа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>вської окружної прокуратури Одеської області від 30 вересня 2025 року; листів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вської окружної прокуратури Одеської області від 11 вересня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2025 року; постанови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вської окружної прокуратури Одеської області 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від 10 вересня 2025 року; постанови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>вської окружної прокуратури Одеської області від 09 вересня 2025 року; листа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>вської окружної прокуратури Одеської області від 08 жовтня 2025 року; листів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>вської окружної прокуратури Одеської області від 03 жовтня 2025 року; постанови Біля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</w:rPr>
        <w:t>вської окружної прокуратури Одеської області від 02 жовтня 2025 року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6CAD4D6" w14:textId="77777777" w:rsidR="00C12E4D" w:rsidRDefault="00C12E4D" w:rsidP="00C12E4D">
      <w:pPr>
        <w:pStyle w:val="a9"/>
        <w:widowControl w:val="0"/>
        <w:numPr>
          <w:ilvl w:val="0"/>
          <w:numId w:val="2"/>
        </w:numPr>
        <w:pBdr>
          <w:bottom w:val="single" w:sz="12" w:space="12" w:color="FFFFFF"/>
        </w:pBdr>
        <w:ind w:left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0031">
        <w:rPr>
          <w:rFonts w:ascii="Times New Roman" w:hAnsi="Times New Roman"/>
          <w:b/>
          <w:color w:val="000000" w:themeColor="text1"/>
          <w:sz w:val="28"/>
          <w:szCs w:val="28"/>
        </w:rPr>
        <w:t>Щодо джерел права, які підлягають застосуванню</w:t>
      </w:r>
    </w:p>
    <w:p w14:paraId="2E53C27A" w14:textId="77777777" w:rsidR="00C12E4D" w:rsidRPr="007E0F45" w:rsidRDefault="00C12E4D" w:rsidP="00C12E4D">
      <w:pPr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</w:rPr>
      </w:pPr>
      <w:r w:rsidRPr="007E0F45">
        <w:rPr>
          <w:rFonts w:ascii="Times New Roman" w:hAnsi="Times New Roman" w:cs="Calibri"/>
          <w:bCs/>
          <w:color w:val="000000" w:themeColor="text1"/>
          <w:sz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5E5886A7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України «Про прокуратуру»). </w:t>
      </w:r>
    </w:p>
    <w:p w14:paraId="0532A7B0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Однією із засад діяльності прокуратури, визначеною у статті 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>Закону України «Про прокуратуру», є незалежність прокурорів. Зі змісту частини другої статті 16 Закону України «Про прокуратуру»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357B773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що не мають на те законних повноважень, забороняється. </w:t>
      </w:r>
    </w:p>
    <w:p w14:paraId="57256635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Законодавцем визначено спеціальну процедуру оскарження рішень, дій чи бездіяльності прокурора під час досудового розслідування (статті 303 - 307 КПК України).</w:t>
      </w:r>
    </w:p>
    <w:p w14:paraId="50CED845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у абзаці другому частини першої статті 45 Закону України «Про прокуратуру». За змістом цієї норми,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A4BA0D1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2652BEC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України «Про прокуратуру»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6E52C6D6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першою статті 43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Закону України «Про прокуратуру» визначено, що </w:t>
      </w:r>
      <w:bookmarkStart w:id="2" w:name="n417"/>
      <w:bookmarkEnd w:id="2"/>
      <w:r w:rsidRPr="007E0F45">
        <w:rPr>
          <w:rFonts w:ascii="Times New Roman" w:hAnsi="Times New Roman"/>
          <w:color w:val="000000" w:themeColor="text1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78A2F23B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n418"/>
      <w:bookmarkEnd w:id="3"/>
      <w:r w:rsidRPr="007E0F45">
        <w:rPr>
          <w:rFonts w:ascii="Times New Roman" w:hAnsi="Times New Roman"/>
          <w:color w:val="000000" w:themeColor="text1"/>
          <w:sz w:val="28"/>
          <w:szCs w:val="28"/>
        </w:rPr>
        <w:t>1) невиконання чи неналежне виконання службових обов’язків;</w:t>
      </w:r>
    </w:p>
    <w:p w14:paraId="1E33B041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n419"/>
      <w:bookmarkEnd w:id="4"/>
      <w:r w:rsidRPr="007E0F45">
        <w:rPr>
          <w:rFonts w:ascii="Times New Roman" w:hAnsi="Times New Roman"/>
          <w:color w:val="000000" w:themeColor="text1"/>
          <w:sz w:val="28"/>
          <w:szCs w:val="28"/>
        </w:rPr>
        <w:t>2) необґрунтоване зволікання з розглядом звернення;</w:t>
      </w:r>
    </w:p>
    <w:p w14:paraId="3FFD79F7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n420"/>
      <w:bookmarkEnd w:id="5"/>
      <w:r w:rsidRPr="007E0F45">
        <w:rPr>
          <w:rFonts w:ascii="Times New Roman" w:hAnsi="Times New Roman"/>
          <w:color w:val="000000" w:themeColor="text1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A3CD617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n421"/>
      <w:bookmarkEnd w:id="6"/>
      <w:r w:rsidRPr="007E0F45">
        <w:rPr>
          <w:rFonts w:ascii="Times New Roman" w:hAnsi="Times New Roman"/>
          <w:color w:val="000000" w:themeColor="text1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7" w:name="n2686"/>
      <w:bookmarkEnd w:id="7"/>
    </w:p>
    <w:p w14:paraId="0AEE16A3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n422"/>
      <w:bookmarkEnd w:id="8"/>
      <w:r w:rsidRPr="007E0F45">
        <w:rPr>
          <w:rFonts w:ascii="Times New Roman" w:hAnsi="Times New Roman"/>
          <w:color w:val="000000" w:themeColor="text1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6AE71C71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n423"/>
      <w:bookmarkEnd w:id="9"/>
      <w:r w:rsidRPr="007E0F45">
        <w:rPr>
          <w:rFonts w:ascii="Times New Roman" w:hAnsi="Times New Roman"/>
          <w:color w:val="000000" w:themeColor="text1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F3B01DA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n424"/>
      <w:bookmarkEnd w:id="10"/>
      <w:r w:rsidRPr="007E0F45">
        <w:rPr>
          <w:rFonts w:ascii="Times New Roman" w:hAnsi="Times New Roman"/>
          <w:color w:val="000000" w:themeColor="text1"/>
          <w:sz w:val="28"/>
          <w:szCs w:val="28"/>
        </w:rPr>
        <w:t>7) порушення правил внутрішнього службового розпорядку;</w:t>
      </w:r>
    </w:p>
    <w:p w14:paraId="55C2EA20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n425"/>
      <w:bookmarkEnd w:id="11"/>
      <w:r w:rsidRPr="007E0F45">
        <w:rPr>
          <w:rFonts w:ascii="Times New Roman" w:hAnsi="Times New Roman"/>
          <w:color w:val="000000" w:themeColor="text1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319CB6FA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n426"/>
      <w:bookmarkEnd w:id="12"/>
      <w:r w:rsidRPr="007E0F45">
        <w:rPr>
          <w:rFonts w:ascii="Times New Roman" w:hAnsi="Times New Roman"/>
          <w:color w:val="000000" w:themeColor="text1"/>
          <w:sz w:val="28"/>
          <w:szCs w:val="28"/>
        </w:rPr>
        <w:t>9) публічне висловлювання, яке є порушенням презумпції невинуватості.</w:t>
      </w:r>
    </w:p>
    <w:p w14:paraId="64245721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Конструкцію статті 46 Закону України «Про прокуратуру»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провадження стосовно прокурора можливе лише за відсутності таких обставин:</w:t>
      </w:r>
    </w:p>
    <w:p w14:paraId="612F83AC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76DB52E5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n441"/>
      <w:bookmarkEnd w:id="13"/>
      <w:r w:rsidRPr="007E0F45">
        <w:rPr>
          <w:rFonts w:ascii="Times New Roman" w:hAnsi="Times New Roman"/>
          <w:color w:val="000000" w:themeColor="text1"/>
          <w:sz w:val="28"/>
          <w:szCs w:val="28"/>
        </w:rPr>
        <w:t>2) дисциплінарна скарга є анонімною;</w:t>
      </w:r>
    </w:p>
    <w:p w14:paraId="57080D3B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n442"/>
      <w:bookmarkEnd w:id="14"/>
      <w:r w:rsidRPr="007E0F45">
        <w:rPr>
          <w:rFonts w:ascii="Times New Roman" w:hAnsi="Times New Roman"/>
          <w:color w:val="000000" w:themeColor="text1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7E0F45">
          <w:rPr>
            <w:rFonts w:ascii="Times New Roman" w:hAnsi="Times New Roman"/>
            <w:color w:val="000000" w:themeColor="text1"/>
            <w:sz w:val="28"/>
            <w:szCs w:val="28"/>
          </w:rPr>
          <w:t>статтею 43</w:t>
        </w:r>
      </w:hyperlink>
      <w:r w:rsidRPr="007E0F45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6AF07BF4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" w:name="n443"/>
      <w:bookmarkEnd w:id="15"/>
      <w:r w:rsidRPr="007E0F45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7E0F45">
          <w:rPr>
            <w:rFonts w:ascii="Times New Roman" w:hAnsi="Times New Roman"/>
            <w:color w:val="000000" w:themeColor="text1"/>
            <w:sz w:val="28"/>
            <w:szCs w:val="28"/>
          </w:rPr>
          <w:t> статтею 51</w:t>
        </w:r>
      </w:hyperlink>
      <w:r w:rsidRPr="007E0F45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  <w:bookmarkStart w:id="16" w:name="n1893"/>
      <w:bookmarkEnd w:id="16"/>
    </w:p>
    <w:p w14:paraId="26D03295" w14:textId="77777777" w:rsidR="00C12E4D" w:rsidRPr="007E0F45" w:rsidRDefault="00C12E4D" w:rsidP="00C12E4D">
      <w:pPr>
        <w:widowControl w:val="0"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7" w:name="n444"/>
      <w:bookmarkEnd w:id="17"/>
      <w:r w:rsidRPr="007E0F45">
        <w:rPr>
          <w:rFonts w:ascii="Times New Roman" w:hAnsi="Times New Roman"/>
          <w:color w:val="000000" w:themeColor="text1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8" w:name="n2545"/>
      <w:bookmarkEnd w:id="18"/>
    </w:p>
    <w:p w14:paraId="1C314A2F" w14:textId="77777777" w:rsidR="00C12E4D" w:rsidRPr="007E0F45" w:rsidRDefault="00C12E4D" w:rsidP="00C12E4D">
      <w:pPr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Вимогою Закону України «Про прокуратуру»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9F7AE90" w14:textId="77777777" w:rsidR="00C12E4D" w:rsidRPr="007E0F45" w:rsidRDefault="00C12E4D" w:rsidP="00C12E4D">
      <w:pPr>
        <w:widowControl w:val="0"/>
        <w:tabs>
          <w:tab w:val="left" w:pos="851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</w:t>
      </w:r>
      <w:proofErr w:type="spellStart"/>
      <w:r w:rsidRPr="007E0F45">
        <w:rPr>
          <w:rFonts w:ascii="Times New Roman" w:hAnsi="Times New Roman"/>
          <w:color w:val="000000" w:themeColor="text1"/>
          <w:sz w:val="28"/>
          <w:szCs w:val="28"/>
        </w:rPr>
        <w:t>причиновий</w:t>
      </w:r>
      <w:proofErr w:type="spellEnd"/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1DF09AB7" w14:textId="77777777" w:rsidR="00C12E4D" w:rsidRPr="007E0F45" w:rsidRDefault="00C12E4D" w:rsidP="00C12E4D">
      <w:pPr>
        <w:widowControl w:val="0"/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bCs/>
          <w:color w:val="000000" w:themeColor="text1"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326C0E23" w14:textId="77777777" w:rsidR="00C12E4D" w:rsidRPr="007E0F45" w:rsidRDefault="00C12E4D" w:rsidP="00C12E4D">
      <w:pPr>
        <w:widowControl w:val="0"/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bCs/>
          <w:color w:val="000000" w:themeColor="text1"/>
          <w:sz w:val="28"/>
          <w:szCs w:val="28"/>
        </w:rPr>
        <w:t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14:paraId="76671C45" w14:textId="77777777" w:rsidR="00C12E4D" w:rsidRPr="007E0F45" w:rsidRDefault="00C12E4D" w:rsidP="00C12E4D">
      <w:pPr>
        <w:widowControl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            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2DD95CD3" w14:textId="0A1008E4" w:rsidR="00C12E4D" w:rsidRDefault="00C12E4D" w:rsidP="002C6EA2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Пунктом 62 Положення про порядок роботи відповідного органу, що </w:t>
      </w:r>
      <w:r w:rsidRPr="007E0F45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здійснює дисциплінарне провадження, прийнятого 27 квітня 2017 року всеукраїнською конференцією прокурорів (зі змінами), визначено, що Комісія не може прийняти рішення на підставі припущень, неперевіреної чи недостовірної інформації.</w:t>
      </w:r>
    </w:p>
    <w:p w14:paraId="235DE959" w14:textId="77777777" w:rsidR="002C6EA2" w:rsidRPr="002C6EA2" w:rsidRDefault="002C6EA2" w:rsidP="002C6EA2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9FD4A8B" w14:textId="77777777" w:rsidR="002C6EA2" w:rsidRPr="007E0F45" w:rsidRDefault="002C6EA2" w:rsidP="002C6EA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  <w:r w:rsidRPr="007E0F45">
        <w:rPr>
          <w:b/>
          <w:color w:val="000000" w:themeColor="text1"/>
          <w:sz w:val="28"/>
          <w:szCs w:val="28"/>
          <w:lang w:val="uk-UA"/>
        </w:rPr>
        <w:t>4. Оцінка встановлених обставин та мотиви прийнятого рішення</w:t>
      </w:r>
    </w:p>
    <w:p w14:paraId="35219C2D" w14:textId="77777777" w:rsidR="002C6EA2" w:rsidRDefault="002C6EA2" w:rsidP="002C6EA2">
      <w:pPr>
        <w:widowControl w:val="0"/>
        <w:tabs>
          <w:tab w:val="left" w:pos="851"/>
          <w:tab w:val="left" w:pos="993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571307B" w14:textId="732B1DBC" w:rsidR="002C6EA2" w:rsidRDefault="002C6EA2" w:rsidP="002C6EA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Дисциплінарна скарга </w:t>
      </w:r>
      <w:r w:rsidR="007B2D1F">
        <w:rPr>
          <w:rFonts w:ascii="Times New Roman" w:hAnsi="Times New Roman"/>
          <w:color w:val="000000" w:themeColor="text1"/>
          <w:sz w:val="28"/>
          <w:szCs w:val="28"/>
        </w:rPr>
        <w:t>Особа 1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стосується рішень, дій та бездіяльності прокурора </w:t>
      </w:r>
      <w:r>
        <w:rPr>
          <w:rFonts w:ascii="Times New Roman" w:hAnsi="Times New Roman"/>
          <w:color w:val="000000" w:themeColor="text1"/>
          <w:sz w:val="28"/>
          <w:szCs w:val="28"/>
        </w:rPr>
        <w:t>Осадчої О.О.,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вчинених (допущених) </w:t>
      </w:r>
      <w:r w:rsidR="0017144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межах кримінального процесу.</w:t>
      </w:r>
    </w:p>
    <w:p w14:paraId="425DB91F" w14:textId="77777777" w:rsidR="002C6EA2" w:rsidRPr="007E0F45" w:rsidRDefault="002C6EA2" w:rsidP="002C6EA2">
      <w:pPr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2093BD52" w14:textId="77777777" w:rsidR="002C6EA2" w:rsidRPr="007E0F45" w:rsidRDefault="002C6EA2" w:rsidP="002C6EA2">
      <w:pPr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5ED2AB35" w14:textId="77777777" w:rsidR="002C6EA2" w:rsidRDefault="002C6EA2" w:rsidP="002C6EA2">
      <w:pPr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52FF07D7" w14:textId="77777777" w:rsidR="002C6EA2" w:rsidRPr="00FE3A32" w:rsidRDefault="002C6EA2" w:rsidP="002C6EA2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Зі змісту дисциплінарної скарги та доданих письмових матеріалів вбачається, що скаржни</w:t>
      </w:r>
      <w:r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не погоджу</w:t>
      </w:r>
      <w:r>
        <w:rPr>
          <w:rFonts w:ascii="Times New Roman" w:hAnsi="Times New Roman"/>
          <w:sz w:val="28"/>
          <w:szCs w:val="28"/>
        </w:rPr>
        <w:t>є</w:t>
      </w:r>
      <w:r w:rsidRPr="00FE3A32">
        <w:rPr>
          <w:rFonts w:ascii="Times New Roman" w:hAnsi="Times New Roman"/>
          <w:sz w:val="28"/>
          <w:szCs w:val="28"/>
        </w:rPr>
        <w:t xml:space="preserve">ться з процесуальними рішеннями прокурора у конкретному кримінальному провадженні. </w:t>
      </w:r>
    </w:p>
    <w:p w14:paraId="1CDC990D" w14:textId="77777777" w:rsidR="002C6EA2" w:rsidRDefault="002C6EA2" w:rsidP="002C6EA2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обов’язків.</w:t>
      </w:r>
    </w:p>
    <w:p w14:paraId="55E8484F" w14:textId="2FAD891A" w:rsidR="002C6EA2" w:rsidRDefault="002C6EA2" w:rsidP="002C6EA2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808DD">
        <w:rPr>
          <w:rFonts w:ascii="Times New Roman" w:hAnsi="Times New Roman"/>
          <w:sz w:val="28"/>
          <w:szCs w:val="28"/>
        </w:rPr>
        <w:t xml:space="preserve">е може вважатися переконливим аргументом та підставою для притягнення прокурора </w:t>
      </w:r>
      <w:r>
        <w:rPr>
          <w:rFonts w:ascii="Times New Roman" w:hAnsi="Times New Roman"/>
          <w:sz w:val="28"/>
          <w:szCs w:val="28"/>
        </w:rPr>
        <w:t>Осадчу О.О.</w:t>
      </w:r>
      <w:r w:rsidRPr="001808DD">
        <w:rPr>
          <w:rFonts w:ascii="Times New Roman" w:hAnsi="Times New Roman"/>
          <w:sz w:val="28"/>
          <w:szCs w:val="28"/>
        </w:rPr>
        <w:t xml:space="preserve"> до дисциплінарної відповідальності те, що </w:t>
      </w:r>
      <w:r>
        <w:rPr>
          <w:rFonts w:ascii="Times New Roman" w:hAnsi="Times New Roman"/>
          <w:sz w:val="28"/>
          <w:szCs w:val="28"/>
        </w:rPr>
        <w:t>вона</w:t>
      </w:r>
      <w:r w:rsidRPr="001808DD">
        <w:rPr>
          <w:rFonts w:ascii="Times New Roman" w:hAnsi="Times New Roman"/>
          <w:sz w:val="28"/>
          <w:szCs w:val="28"/>
        </w:rPr>
        <w:t>, як прокурор у кримінальному провадженні, зберігаючи процесуальну самостійність та незалежність,</w:t>
      </w:r>
      <w:r>
        <w:rPr>
          <w:rFonts w:ascii="Times New Roman" w:hAnsi="Times New Roman"/>
          <w:sz w:val="28"/>
          <w:szCs w:val="28"/>
        </w:rPr>
        <w:t xml:space="preserve"> затвердила постанову про відмову у задоволенні клопотан</w:t>
      </w:r>
      <w:r w:rsidR="0017144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потерпілого. </w:t>
      </w:r>
      <w:r w:rsidRPr="001808DD">
        <w:rPr>
          <w:rFonts w:ascii="Times New Roman" w:hAnsi="Times New Roman"/>
          <w:sz w:val="28"/>
          <w:szCs w:val="28"/>
        </w:rPr>
        <w:t xml:space="preserve"> </w:t>
      </w:r>
    </w:p>
    <w:p w14:paraId="587BD8EE" w14:textId="63C50A3D" w:rsidR="002C6EA2" w:rsidRDefault="002C6EA2" w:rsidP="002C6EA2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8DD">
        <w:rPr>
          <w:rFonts w:ascii="Times New Roman" w:hAnsi="Times New Roman"/>
          <w:color w:val="000000" w:themeColor="text1"/>
          <w:sz w:val="28"/>
          <w:szCs w:val="28"/>
        </w:rPr>
        <w:t xml:space="preserve">Слід зазначити, що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кримінальне провадження здійснюється на основі змагальності, а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 У зв’язку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саме лише </w:t>
      </w:r>
      <w:r>
        <w:rPr>
          <w:rFonts w:ascii="Times New Roman" w:hAnsi="Times New Roman"/>
          <w:sz w:val="28"/>
          <w:szCs w:val="28"/>
        </w:rPr>
        <w:t>затвердження постанови про відмову у задоволенні клопотання потерпілого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 може свідчити про порушення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нею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норм законодавства чи неналежне виконання службових обов’язків.</w:t>
      </w:r>
    </w:p>
    <w:p w14:paraId="3041DEBB" w14:textId="77777777" w:rsidR="00857A42" w:rsidRDefault="002A581D" w:rsidP="00857A42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Водночас скаржник просив про відвід прокурора Осадчої О.О. За приписами частини 2 статті 81 КПК України, відводи прокурору під час досудового розслідування розглядає слідчий суддя, з підстав передбачених статтею 77 КПК України. </w:t>
      </w:r>
      <w:r w:rsidR="00857A4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раховуючи викладене, скаржник має право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звернутись до слідчого судді з відповідною заявою.</w:t>
      </w:r>
    </w:p>
    <w:p w14:paraId="48DF8B84" w14:textId="77777777" w:rsidR="00857A42" w:rsidRDefault="002C6EA2" w:rsidP="00857A42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Окрім цього, а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>втор скарги вказує про неналежне досудове розслідування слідчим</w:t>
      </w:r>
      <w:r>
        <w:rPr>
          <w:rFonts w:ascii="Times New Roman" w:hAnsi="Times New Roman"/>
          <w:color w:val="000000" w:themeColor="text1"/>
          <w:sz w:val="28"/>
          <w:szCs w:val="28"/>
        </w:rPr>
        <w:t>, а саме внесення завідомо неправдивих доказів до офіційних документів</w:t>
      </w:r>
      <w:r w:rsidR="00857A42">
        <w:rPr>
          <w:rFonts w:ascii="Times New Roman" w:hAnsi="Times New Roman"/>
          <w:color w:val="000000" w:themeColor="text1"/>
          <w:sz w:val="28"/>
          <w:szCs w:val="28"/>
        </w:rPr>
        <w:t xml:space="preserve">, зловживав своїм службовим становищем, здійснення перекваліфікації злочину незважаючи на обставини справи та всупереч показань скаржника тощо. </w:t>
      </w:r>
    </w:p>
    <w:p w14:paraId="71DC3D69" w14:textId="1ACC8729" w:rsidR="00AC19BE" w:rsidRDefault="00857A42" w:rsidP="00AC19BE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C19BE">
        <w:rPr>
          <w:rFonts w:ascii="Times New Roman" w:hAnsi="Times New Roman"/>
          <w:color w:val="000000" w:themeColor="text1"/>
          <w:sz w:val="28"/>
          <w:szCs w:val="28"/>
        </w:rPr>
        <w:t xml:space="preserve">арто наголосити, що </w:t>
      </w:r>
      <w:r w:rsidR="00AC19BE" w:rsidRPr="007E0F45">
        <w:rPr>
          <w:rFonts w:ascii="Times New Roman" w:hAnsi="Times New Roman"/>
          <w:color w:val="000000" w:themeColor="text1"/>
          <w:sz w:val="28"/>
          <w:szCs w:val="28"/>
        </w:rPr>
        <w:t>Комісія є колегіальним органом, що відповідно до повноважень, передбачених Законом України «Про прокуратуру» вирішує питання щодо дисциплінарної відповідальності саме прокурорів</w:t>
      </w:r>
      <w:r w:rsidR="00DA59E9">
        <w:rPr>
          <w:rFonts w:ascii="Times New Roman" w:hAnsi="Times New Roman"/>
          <w:color w:val="000000" w:themeColor="text1"/>
          <w:sz w:val="28"/>
          <w:szCs w:val="28"/>
        </w:rPr>
        <w:t>, а не слідчих</w:t>
      </w:r>
      <w:r w:rsidR="00AC19BE"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. Питання дисциплінарної відповідальності слідчого регулюються відповідним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дисциплінарним статутом поліції. </w:t>
      </w:r>
      <w:r w:rsidR="00AC19BE"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422BB06" w14:textId="5AC1CEE2" w:rsidR="00AC19BE" w:rsidRDefault="00857A42" w:rsidP="00AC19BE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</w:t>
      </w:r>
      <w:r w:rsidR="00AC19BE">
        <w:rPr>
          <w:rFonts w:ascii="Times New Roman" w:hAnsi="Times New Roman"/>
          <w:sz w:val="28"/>
          <w:szCs w:val="28"/>
        </w:rPr>
        <w:t xml:space="preserve"> </w:t>
      </w:r>
      <w:r w:rsidR="00AC19B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C19BE">
        <w:rPr>
          <w:rFonts w:ascii="Times New Roman" w:hAnsi="Times New Roman"/>
          <w:sz w:val="28"/>
          <w:szCs w:val="28"/>
        </w:rPr>
        <w:t xml:space="preserve">працюванням доводів дисциплінарної скарги встановлено, що </w:t>
      </w:r>
      <w:r w:rsidR="00AC19BE" w:rsidRPr="00670265">
        <w:rPr>
          <w:rFonts w:ascii="Times New Roman" w:hAnsi="Times New Roman"/>
          <w:sz w:val="28"/>
          <w:szCs w:val="28"/>
        </w:rPr>
        <w:t>дії чи бездіяльність прокурор</w:t>
      </w:r>
      <w:r w:rsidR="00AC19BE">
        <w:rPr>
          <w:rFonts w:ascii="Times New Roman" w:hAnsi="Times New Roman"/>
          <w:sz w:val="28"/>
          <w:szCs w:val="28"/>
        </w:rPr>
        <w:t xml:space="preserve">а Осадчої О.О. </w:t>
      </w:r>
      <w:r w:rsidR="00AC19BE" w:rsidRPr="00670265">
        <w:rPr>
          <w:rFonts w:ascii="Times New Roman" w:hAnsi="Times New Roman"/>
          <w:sz w:val="28"/>
          <w:szCs w:val="28"/>
        </w:rPr>
        <w:t xml:space="preserve">судом </w:t>
      </w:r>
      <w:r w:rsidR="00AC19BE">
        <w:rPr>
          <w:rFonts w:ascii="Times New Roman" w:hAnsi="Times New Roman"/>
          <w:sz w:val="28"/>
          <w:szCs w:val="28"/>
        </w:rPr>
        <w:t xml:space="preserve">неправомірними не </w:t>
      </w:r>
      <w:r w:rsidR="00AC19BE" w:rsidRPr="00670265">
        <w:rPr>
          <w:rFonts w:ascii="Times New Roman" w:hAnsi="Times New Roman"/>
          <w:sz w:val="28"/>
          <w:szCs w:val="28"/>
        </w:rPr>
        <w:t xml:space="preserve">визнано, а також </w:t>
      </w:r>
      <w:r w:rsidR="00AC19BE">
        <w:rPr>
          <w:rFonts w:ascii="Times New Roman" w:hAnsi="Times New Roman"/>
          <w:sz w:val="28"/>
          <w:szCs w:val="28"/>
        </w:rPr>
        <w:t xml:space="preserve">не </w:t>
      </w:r>
      <w:r w:rsidR="00AC19BE" w:rsidRPr="00670265">
        <w:rPr>
          <w:rFonts w:ascii="Times New Roman" w:hAnsi="Times New Roman"/>
          <w:sz w:val="28"/>
          <w:szCs w:val="28"/>
        </w:rPr>
        <w:t xml:space="preserve">констатовано порушення </w:t>
      </w:r>
      <w:r w:rsidR="00AC19BE">
        <w:rPr>
          <w:rFonts w:ascii="Times New Roman" w:hAnsi="Times New Roman"/>
          <w:sz w:val="28"/>
          <w:szCs w:val="28"/>
        </w:rPr>
        <w:t>нею</w:t>
      </w:r>
      <w:r w:rsidR="00AC19BE" w:rsidRPr="00670265">
        <w:rPr>
          <w:rFonts w:ascii="Times New Roman" w:hAnsi="Times New Roman"/>
          <w:sz w:val="28"/>
          <w:szCs w:val="28"/>
        </w:rPr>
        <w:t xml:space="preserve"> вимог закону чи прав осіб.</w:t>
      </w:r>
    </w:p>
    <w:p w14:paraId="736DC7E4" w14:textId="79DA0181" w:rsidR="00AC19BE" w:rsidRDefault="00857A42" w:rsidP="00AC19BE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C19BE" w:rsidRPr="00367C65">
        <w:rPr>
          <w:rFonts w:ascii="Times New Roman" w:hAnsi="Times New Roman"/>
          <w:sz w:val="28"/>
          <w:szCs w:val="28"/>
        </w:rPr>
        <w:t>каржни</w:t>
      </w:r>
      <w:r w:rsidR="00AC19BE">
        <w:rPr>
          <w:rFonts w:ascii="Times New Roman" w:hAnsi="Times New Roman"/>
          <w:sz w:val="28"/>
          <w:szCs w:val="28"/>
        </w:rPr>
        <w:t>к</w:t>
      </w:r>
      <w:r w:rsidR="00AC19BE" w:rsidRPr="00367C65">
        <w:rPr>
          <w:rFonts w:ascii="Times New Roman" w:hAnsi="Times New Roman"/>
          <w:sz w:val="28"/>
          <w:szCs w:val="28"/>
        </w:rPr>
        <w:t xml:space="preserve"> наділен</w:t>
      </w:r>
      <w:r w:rsidR="00AC19BE">
        <w:rPr>
          <w:rFonts w:ascii="Times New Roman" w:hAnsi="Times New Roman"/>
          <w:sz w:val="28"/>
          <w:szCs w:val="28"/>
        </w:rPr>
        <w:t>ий</w:t>
      </w:r>
      <w:r w:rsidR="00AC19BE" w:rsidRPr="00367C65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та бездіяльність слідчого чи прокурора у кримінальному процесі відповідно до слідчого судді, суду або ж до прокурора вищого рівня у випадках, передбачених КПК України</w:t>
      </w:r>
      <w:r w:rsidR="00AC19BE">
        <w:rPr>
          <w:rFonts w:ascii="Times New Roman" w:hAnsi="Times New Roman"/>
          <w:sz w:val="28"/>
          <w:szCs w:val="28"/>
        </w:rPr>
        <w:t>, як і звернутися до прокурора вищого рівня в порядку Закону України «Про звернення громадян» або інших законодавчих актів України.</w:t>
      </w:r>
      <w:r w:rsidR="00AC19BE" w:rsidRPr="00367C65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</w:t>
      </w:r>
      <w:r w:rsidR="00AC19BE">
        <w:rPr>
          <w:rFonts w:ascii="Times New Roman" w:hAnsi="Times New Roman"/>
          <w:sz w:val="28"/>
          <w:szCs w:val="28"/>
        </w:rPr>
        <w:t xml:space="preserve"> </w:t>
      </w:r>
      <w:r w:rsidR="00AC19BE" w:rsidRPr="00367C65">
        <w:rPr>
          <w:rFonts w:ascii="Times New Roman" w:hAnsi="Times New Roman"/>
          <w:sz w:val="28"/>
          <w:szCs w:val="28"/>
        </w:rPr>
        <w:t>висновку, що скаржн</w:t>
      </w:r>
      <w:r w:rsidR="00AC19BE">
        <w:rPr>
          <w:rFonts w:ascii="Times New Roman" w:hAnsi="Times New Roman"/>
          <w:sz w:val="28"/>
          <w:szCs w:val="28"/>
        </w:rPr>
        <w:t>иком</w:t>
      </w:r>
      <w:r w:rsidR="00AC19BE" w:rsidRPr="00367C65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6ADBCA1A" w14:textId="02C9E700" w:rsidR="00AC19BE" w:rsidRDefault="00AC19BE" w:rsidP="00AC19BE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503B3E">
        <w:rPr>
          <w:rFonts w:ascii="Times New Roman" w:hAnsi="Times New Roman"/>
          <w:sz w:val="28"/>
          <w:szCs w:val="28"/>
        </w:rPr>
        <w:t xml:space="preserve">За таких обставин, неможливо встановити, що окремі рішення, дії чи бездіяльність прокурора </w:t>
      </w:r>
      <w:r>
        <w:rPr>
          <w:rFonts w:ascii="Times New Roman" w:hAnsi="Times New Roman"/>
          <w:sz w:val="28"/>
          <w:szCs w:val="28"/>
        </w:rPr>
        <w:t xml:space="preserve">Осадчої О.О. </w:t>
      </w:r>
      <w:r w:rsidRPr="00503B3E">
        <w:rPr>
          <w:rFonts w:ascii="Times New Roman" w:hAnsi="Times New Roman"/>
          <w:sz w:val="28"/>
          <w:szCs w:val="28"/>
        </w:rPr>
        <w:t xml:space="preserve">визнано неправомірними, а також встановлено факт порушення </w:t>
      </w:r>
      <w:r w:rsidR="006B0A31">
        <w:rPr>
          <w:rFonts w:ascii="Times New Roman" w:hAnsi="Times New Roman"/>
          <w:sz w:val="28"/>
          <w:szCs w:val="28"/>
        </w:rPr>
        <w:t>нею</w:t>
      </w:r>
      <w:r w:rsidRPr="00503B3E">
        <w:rPr>
          <w:rFonts w:ascii="Times New Roman" w:hAnsi="Times New Roman"/>
          <w:sz w:val="28"/>
          <w:szCs w:val="28"/>
        </w:rPr>
        <w:t xml:space="preserve"> прав осіб або вимог закону</w:t>
      </w:r>
      <w:r>
        <w:rPr>
          <w:rFonts w:ascii="Times New Roman" w:hAnsi="Times New Roman"/>
          <w:sz w:val="28"/>
          <w:szCs w:val="28"/>
        </w:rPr>
        <w:t xml:space="preserve">, у зв’язку з чим </w:t>
      </w:r>
      <w:r w:rsidRPr="00503B3E">
        <w:rPr>
          <w:rFonts w:ascii="Times New Roman" w:hAnsi="Times New Roman"/>
          <w:sz w:val="28"/>
          <w:szCs w:val="28"/>
        </w:rPr>
        <w:t>Комісія позбавлена права надавати оцінку діяльності прокурора в межах кримінального процесу.</w:t>
      </w:r>
    </w:p>
    <w:p w14:paraId="1659A4DB" w14:textId="12A5F8A4" w:rsidR="00AC19BE" w:rsidRPr="007E0F45" w:rsidRDefault="00AC19BE" w:rsidP="00AC19BE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та додатки до неї не містять конкретних відомостей про наявність ознак дисциплінарного проступку, вчинених прокурором </w:t>
      </w:r>
      <w:r>
        <w:rPr>
          <w:rFonts w:ascii="Times New Roman" w:hAnsi="Times New Roman"/>
          <w:color w:val="000000" w:themeColor="text1"/>
          <w:sz w:val="28"/>
          <w:szCs w:val="28"/>
        </w:rPr>
        <w:t>Осадчою О.О.</w:t>
      </w:r>
    </w:p>
    <w:p w14:paraId="08163536" w14:textId="77777777" w:rsidR="00AC19BE" w:rsidRPr="005D2088" w:rsidRDefault="00AC19BE" w:rsidP="00AC19BE">
      <w:pPr>
        <w:widowControl w:val="0"/>
        <w:pBdr>
          <w:bottom w:val="single" w:sz="12" w:space="12" w:color="FFFFFF"/>
        </w:pBd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Відтак, керуючись статтями 44 – 46, 48 Закону України «Про прокуратуру», пунктами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57040F50" w14:textId="77777777" w:rsidR="00AC19BE" w:rsidRPr="007E0F45" w:rsidRDefault="00AC19BE" w:rsidP="00AC19BE">
      <w:pPr>
        <w:widowControl w:val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b/>
          <w:color w:val="000000" w:themeColor="text1"/>
          <w:sz w:val="28"/>
          <w:szCs w:val="28"/>
        </w:rPr>
        <w:t>В И Р І Ш И В:</w:t>
      </w:r>
    </w:p>
    <w:p w14:paraId="51CC60D4" w14:textId="77777777" w:rsidR="00AC19BE" w:rsidRPr="007E0F45" w:rsidRDefault="00AC19BE" w:rsidP="00AC19BE">
      <w:pPr>
        <w:widowControl w:val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8AB8D05" w14:textId="57F72137" w:rsidR="00AC19BE" w:rsidRPr="007E0F45" w:rsidRDefault="00AC19BE" w:rsidP="00AC19BE">
      <w:pPr>
        <w:widowControl w:val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Відмовити у відкритті дисциплінарного провадження </w:t>
      </w:r>
      <w:r w:rsidR="00857A42">
        <w:rPr>
          <w:rFonts w:ascii="Times New Roman" w:hAnsi="Times New Roman"/>
          <w:color w:val="000000" w:themeColor="text1"/>
          <w:sz w:val="28"/>
          <w:szCs w:val="28"/>
        </w:rPr>
        <w:t xml:space="preserve">стосовно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</w:t>
      </w:r>
      <w:r>
        <w:rPr>
          <w:rFonts w:ascii="Times New Roman" w:hAnsi="Times New Roman"/>
          <w:color w:val="000000" w:themeColor="text1"/>
          <w:sz w:val="28"/>
          <w:szCs w:val="28"/>
        </w:rPr>
        <w:t>Біляївської окружної прокуратури Одеської області Осадчої Олени Олександрівни.</w:t>
      </w:r>
    </w:p>
    <w:p w14:paraId="584DB0C9" w14:textId="77777777" w:rsidR="00AC19BE" w:rsidRPr="007E0F45" w:rsidRDefault="00AC19BE" w:rsidP="00AC19BE">
      <w:pPr>
        <w:widowControl w:val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Рішення направити автору скарги та прокурору.</w:t>
      </w:r>
    </w:p>
    <w:p w14:paraId="37840329" w14:textId="77777777" w:rsidR="00AC19BE" w:rsidRPr="007E0F45" w:rsidRDefault="00AC19BE" w:rsidP="00AC19BE">
      <w:pPr>
        <w:widowControl w:val="0"/>
        <w:tabs>
          <w:tab w:val="left" w:pos="851"/>
          <w:tab w:val="left" w:pos="993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7A0433" w14:textId="703A7BC9" w:rsidR="00AC19BE" w:rsidRPr="007E0F45" w:rsidRDefault="00AC19BE" w:rsidP="00AC19BE">
      <w:pPr>
        <w:widowControl w:val="0"/>
        <w:tabs>
          <w:tab w:val="left" w:pos="851"/>
        </w:tabs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Член Комісії    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Максим РАДЗІВОН</w:t>
      </w:r>
    </w:p>
    <w:p w14:paraId="09FFFD3C" w14:textId="77777777" w:rsidR="00AC19BE" w:rsidRPr="007E0F45" w:rsidRDefault="00AC19BE" w:rsidP="00AC19BE">
      <w:pPr>
        <w:rPr>
          <w:color w:val="000000" w:themeColor="text1"/>
        </w:rPr>
      </w:pPr>
    </w:p>
    <w:p w14:paraId="6325F455" w14:textId="77777777" w:rsidR="005E4A9D" w:rsidRPr="005E4A9D" w:rsidRDefault="005E4A9D" w:rsidP="00857A4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E4A9D" w:rsidRPr="005E4A9D" w:rsidSect="00C31937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0318" w14:textId="77777777" w:rsidR="00B31B98" w:rsidRDefault="00B31B98" w:rsidP="00C31937">
      <w:r>
        <w:separator/>
      </w:r>
    </w:p>
  </w:endnote>
  <w:endnote w:type="continuationSeparator" w:id="0">
    <w:p w14:paraId="66E3C595" w14:textId="77777777" w:rsidR="00B31B98" w:rsidRDefault="00B31B98" w:rsidP="00C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2F75" w14:textId="77777777" w:rsidR="00B31B98" w:rsidRDefault="00B31B98" w:rsidP="00C31937">
      <w:r>
        <w:separator/>
      </w:r>
    </w:p>
  </w:footnote>
  <w:footnote w:type="continuationSeparator" w:id="0">
    <w:p w14:paraId="270B9A7F" w14:textId="77777777" w:rsidR="00B31B98" w:rsidRDefault="00B31B98" w:rsidP="00C3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397161"/>
      <w:docPartObj>
        <w:docPartGallery w:val="Page Numbers (Top of Page)"/>
        <w:docPartUnique/>
      </w:docPartObj>
    </w:sdtPr>
    <w:sdtContent>
      <w:p w14:paraId="01DFA359" w14:textId="20BCC4AF" w:rsidR="00C31937" w:rsidRDefault="00C3193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C9257" w14:textId="77777777" w:rsidR="00C31937" w:rsidRDefault="00C3193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918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01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80"/>
    <w:rsid w:val="00056EF9"/>
    <w:rsid w:val="000B70FD"/>
    <w:rsid w:val="00153B4A"/>
    <w:rsid w:val="0017144C"/>
    <w:rsid w:val="002A07CF"/>
    <w:rsid w:val="002A116B"/>
    <w:rsid w:val="002A581D"/>
    <w:rsid w:val="002C6EA2"/>
    <w:rsid w:val="0037377B"/>
    <w:rsid w:val="00443635"/>
    <w:rsid w:val="005978F5"/>
    <w:rsid w:val="005E4A9D"/>
    <w:rsid w:val="00690363"/>
    <w:rsid w:val="006B0A31"/>
    <w:rsid w:val="007051E0"/>
    <w:rsid w:val="007B2D1F"/>
    <w:rsid w:val="00857A42"/>
    <w:rsid w:val="00983FC7"/>
    <w:rsid w:val="00A31AF9"/>
    <w:rsid w:val="00A41D18"/>
    <w:rsid w:val="00A46FAC"/>
    <w:rsid w:val="00AC06A6"/>
    <w:rsid w:val="00AC19BE"/>
    <w:rsid w:val="00B31B98"/>
    <w:rsid w:val="00B85A80"/>
    <w:rsid w:val="00C12E4D"/>
    <w:rsid w:val="00C31937"/>
    <w:rsid w:val="00D34B74"/>
    <w:rsid w:val="00DA59E9"/>
    <w:rsid w:val="00DE241D"/>
    <w:rsid w:val="00E45008"/>
    <w:rsid w:val="00E55ACF"/>
    <w:rsid w:val="00FA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41F6"/>
  <w15:chartTrackingRefBased/>
  <w15:docId w15:val="{5B83232A-B192-44DE-A0A1-E2D7D6BB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8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5A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5A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5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5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5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5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A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5A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5A80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B85A8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2C6E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C31937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C3193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C31937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C3193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9738</Words>
  <Characters>5551</Characters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2025-10-24T08:56:00Z</cp:lastPrinted>
  <dcterms:created xsi:type="dcterms:W3CDTF">2025-11-27T15:04:00Z</dcterms:created>
  <dcterms:modified xsi:type="dcterms:W3CDTF">2025-11-27T15:04:00Z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2025-10-24T08:56:47Z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17b80c88-a2b1-471f-b335-1873731311fa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