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BA6D3D" w:rsidRPr="00462E3B" w:rsidTr="00CE6C73">
        <w:trPr>
          <w:gridAfter w:val="1"/>
          <w:wAfter w:w="6" w:type="dxa"/>
        </w:trPr>
        <w:tc>
          <w:tcPr>
            <w:tcW w:w="3291" w:type="dxa"/>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en-US"/>
              </w:rPr>
            </w:pPr>
          </w:p>
        </w:tc>
        <w:tc>
          <w:tcPr>
            <w:tcW w:w="3199" w:type="dxa"/>
            <w:gridSpan w:val="2"/>
            <w:shd w:val="clear" w:color="auto" w:fill="auto"/>
            <w:hideMark/>
          </w:tcPr>
          <w:p w:rsidR="00BA6D3D" w:rsidRPr="00462E3B" w:rsidRDefault="00BA6D3D" w:rsidP="000357C9">
            <w:pPr>
              <w:spacing w:after="0" w:line="240" w:lineRule="auto"/>
              <w:ind w:right="-284"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40A770DB" wp14:editId="72A1515B">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r>
      <w:tr w:rsidR="00BA6D3D" w:rsidRPr="00462E3B" w:rsidTr="00CE6C73">
        <w:trPr>
          <w:gridAfter w:val="1"/>
          <w:wAfter w:w="6" w:type="dxa"/>
          <w:trHeight w:val="112"/>
        </w:trPr>
        <w:tc>
          <w:tcPr>
            <w:tcW w:w="9666" w:type="dxa"/>
            <w:gridSpan w:val="4"/>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r>
      <w:tr w:rsidR="00BA6D3D" w:rsidRPr="00462E3B" w:rsidTr="00CE6C73">
        <w:trPr>
          <w:gridAfter w:val="1"/>
          <w:wAfter w:w="6" w:type="dxa"/>
        </w:trPr>
        <w:tc>
          <w:tcPr>
            <w:tcW w:w="9666" w:type="dxa"/>
            <w:gridSpan w:val="4"/>
            <w:shd w:val="clear" w:color="auto" w:fill="auto"/>
            <w:hideMark/>
          </w:tcPr>
          <w:p w:rsidR="00BA6D3D" w:rsidRPr="00462E3B" w:rsidRDefault="00BA6D3D" w:rsidP="000357C9">
            <w:pPr>
              <w:spacing w:after="0" w:line="240" w:lineRule="auto"/>
              <w:ind w:left="-397" w:right="-284"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 ПРОКУРОРІВ</w:t>
            </w:r>
          </w:p>
        </w:tc>
      </w:tr>
      <w:tr w:rsidR="00BA6D3D" w:rsidRPr="00462E3B" w:rsidTr="00CE6C73">
        <w:trPr>
          <w:gridAfter w:val="1"/>
          <w:wAfter w:w="6" w:type="dxa"/>
        </w:trPr>
        <w:tc>
          <w:tcPr>
            <w:tcW w:w="9666" w:type="dxa"/>
            <w:gridSpan w:val="4"/>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r>
      <w:tr w:rsidR="00BA6D3D" w:rsidRPr="00462E3B" w:rsidTr="00CE6C73">
        <w:tc>
          <w:tcPr>
            <w:tcW w:w="3291" w:type="dxa"/>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BA6D3D" w:rsidRPr="00462E3B" w:rsidRDefault="00BA6D3D" w:rsidP="000357C9">
            <w:pPr>
              <w:spacing w:after="0" w:line="240" w:lineRule="auto"/>
              <w:ind w:left="-245" w:right="-284"/>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r>
      <w:tr w:rsidR="00BA6D3D" w:rsidRPr="00462E3B" w:rsidTr="00CE6C73">
        <w:tc>
          <w:tcPr>
            <w:tcW w:w="3291" w:type="dxa"/>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c>
          <w:tcPr>
            <w:tcW w:w="3201" w:type="dxa"/>
            <w:gridSpan w:val="3"/>
            <w:shd w:val="clear" w:color="auto" w:fill="auto"/>
          </w:tcPr>
          <w:p w:rsidR="00BA6D3D" w:rsidRPr="00462E3B" w:rsidRDefault="00BA6D3D" w:rsidP="000357C9">
            <w:pPr>
              <w:spacing w:after="0" w:line="240" w:lineRule="auto"/>
              <w:ind w:right="-284"/>
              <w:rPr>
                <w:rFonts w:ascii="Times New Roman" w:eastAsia="Calibri" w:hAnsi="Times New Roman" w:cs="Times New Roman"/>
                <w:sz w:val="28"/>
                <w:szCs w:val="28"/>
                <w:lang w:val="uk-UA"/>
              </w:rPr>
            </w:pPr>
          </w:p>
        </w:tc>
      </w:tr>
      <w:tr w:rsidR="00BA6D3D" w:rsidRPr="00462E3B" w:rsidTr="00CE6C73">
        <w:tc>
          <w:tcPr>
            <w:tcW w:w="3291" w:type="dxa"/>
            <w:shd w:val="clear" w:color="auto" w:fill="auto"/>
            <w:hideMark/>
          </w:tcPr>
          <w:p w:rsidR="00BA6D3D" w:rsidRPr="00462E3B" w:rsidRDefault="00BA6D3D" w:rsidP="000357C9">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22</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BA6D3D" w:rsidRPr="00462E3B" w:rsidRDefault="00BA6D3D" w:rsidP="000357C9">
            <w:pPr>
              <w:spacing w:after="0" w:line="240" w:lineRule="auto"/>
              <w:ind w:right="-284"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BA6D3D" w:rsidRDefault="00BA6D3D" w:rsidP="000357C9">
            <w:pPr>
              <w:spacing w:after="0" w:line="240" w:lineRule="auto"/>
              <w:ind w:left="-166" w:right="209" w:hanging="166"/>
              <w:jc w:val="right"/>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1093</w:t>
            </w:r>
            <w:r w:rsidRPr="00462E3B">
              <w:rPr>
                <w:rFonts w:ascii="Times New Roman" w:eastAsia="Calibri" w:hAnsi="Times New Roman" w:cs="Times New Roman"/>
                <w:b/>
                <w:sz w:val="28"/>
                <w:szCs w:val="28"/>
                <w:lang w:val="uk-UA"/>
              </w:rPr>
              <w:t>дс-25</w:t>
            </w:r>
          </w:p>
          <w:p w:rsidR="00BA6D3D" w:rsidRPr="00462E3B" w:rsidRDefault="00BA6D3D" w:rsidP="000357C9">
            <w:pPr>
              <w:tabs>
                <w:tab w:val="left" w:pos="2804"/>
              </w:tabs>
              <w:spacing w:after="0" w:line="240" w:lineRule="auto"/>
              <w:ind w:left="-166" w:right="-284" w:hanging="166"/>
              <w:jc w:val="right"/>
              <w:rPr>
                <w:rFonts w:ascii="Times New Roman" w:eastAsia="Calibri" w:hAnsi="Times New Roman" w:cs="Times New Roman"/>
                <w:b/>
                <w:sz w:val="28"/>
                <w:szCs w:val="28"/>
                <w:lang w:val="uk-UA"/>
              </w:rPr>
            </w:pPr>
          </w:p>
        </w:tc>
      </w:tr>
    </w:tbl>
    <w:p w:rsidR="00BA6D3D" w:rsidRPr="00462E3B" w:rsidRDefault="00BA6D3D" w:rsidP="000357C9">
      <w:pPr>
        <w:spacing w:after="120" w:line="240" w:lineRule="auto"/>
        <w:ind w:right="-284"/>
        <w:rPr>
          <w:rFonts w:ascii="Times New Roman" w:eastAsia="Calibri" w:hAnsi="Times New Roman" w:cs="Times New Roman"/>
          <w:b/>
          <w:noProof/>
          <w:sz w:val="16"/>
          <w:szCs w:val="16"/>
          <w:lang w:val="uk-UA" w:eastAsia="uk-UA"/>
        </w:rPr>
      </w:pPr>
    </w:p>
    <w:p w:rsidR="00BA6D3D" w:rsidRPr="00462E3B" w:rsidRDefault="00BA6D3D" w:rsidP="000357C9">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BA6D3D" w:rsidRDefault="00BA6D3D" w:rsidP="000357C9">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BA6D3D" w:rsidRPr="00462E3B" w:rsidRDefault="00BA6D3D" w:rsidP="000357C9">
      <w:pPr>
        <w:spacing w:after="0" w:line="240" w:lineRule="auto"/>
        <w:ind w:right="-284"/>
        <w:jc w:val="both"/>
        <w:rPr>
          <w:rFonts w:ascii="Times New Roman" w:eastAsia="Calibri" w:hAnsi="Times New Roman" w:cs="Times New Roman"/>
          <w:b/>
          <w:noProof/>
          <w:sz w:val="28"/>
          <w:szCs w:val="28"/>
          <w:lang w:val="uk-UA" w:eastAsia="uk-UA"/>
        </w:rPr>
      </w:pPr>
    </w:p>
    <w:p w:rsidR="00BA6D3D" w:rsidRPr="00462E3B" w:rsidRDefault="00BA6D3D" w:rsidP="000357C9">
      <w:pPr>
        <w:spacing w:after="0" w:line="240" w:lineRule="auto"/>
        <w:ind w:right="-284" w:firstLine="567"/>
        <w:jc w:val="both"/>
        <w:rPr>
          <w:rFonts w:ascii="Times New Roman" w:eastAsia="Calibri" w:hAnsi="Times New Roman" w:cs="Times New Roman"/>
          <w:noProof/>
          <w:sz w:val="28"/>
          <w:szCs w:val="28"/>
          <w:lang w:val="uk-UA" w:eastAsia="uk-UA"/>
        </w:rPr>
      </w:pPr>
    </w:p>
    <w:p w:rsidR="00BA6D3D" w:rsidRPr="00462E3B" w:rsidRDefault="00BA6D3D" w:rsidP="000357C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0357C9">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скаржник) стосовно </w:t>
      </w:r>
      <w:r>
        <w:rPr>
          <w:rFonts w:ascii="Times New Roman" w:eastAsia="Calibri" w:hAnsi="Times New Roman" w:cs="Times New Roman"/>
          <w:sz w:val="28"/>
          <w:szCs w:val="28"/>
          <w:lang w:val="uk-UA"/>
        </w:rPr>
        <w:t xml:space="preserve">прокурора відділу нагляду за додержанням законів органами Бюро економічної безпеки України Полтавської обласної прокуратури Савченка О.І. </w:t>
      </w:r>
      <w:r w:rsidRPr="00462E3B">
        <w:rPr>
          <w:rFonts w:ascii="Times New Roman" w:eastAsia="Calibri" w:hAnsi="Times New Roman" w:cs="Times New Roman"/>
          <w:sz w:val="28"/>
          <w:szCs w:val="28"/>
          <w:lang w:val="uk-UA"/>
        </w:rPr>
        <w:t>(далі  – прокурор</w:t>
      </w:r>
      <w:r>
        <w:rPr>
          <w:rFonts w:ascii="Times New Roman" w:eastAsia="Calibri" w:hAnsi="Times New Roman" w:cs="Times New Roman"/>
          <w:sz w:val="28"/>
          <w:szCs w:val="28"/>
          <w:lang w:val="uk-UA"/>
        </w:rPr>
        <w:t xml:space="preserve"> Савченко О.І.</w:t>
      </w:r>
      <w:r w:rsidRPr="00462E3B">
        <w:rPr>
          <w:rFonts w:ascii="Times New Roman" w:eastAsia="Calibri" w:hAnsi="Times New Roman" w:cs="Times New Roman"/>
          <w:sz w:val="28"/>
          <w:szCs w:val="28"/>
          <w:lang w:val="uk-UA"/>
        </w:rPr>
        <w:t>),</w:t>
      </w:r>
    </w:p>
    <w:p w:rsidR="00BA6D3D" w:rsidRPr="00462E3B" w:rsidRDefault="00BA6D3D" w:rsidP="000357C9">
      <w:pPr>
        <w:spacing w:after="0" w:line="240" w:lineRule="auto"/>
        <w:ind w:right="-284" w:firstLine="567"/>
        <w:jc w:val="both"/>
        <w:rPr>
          <w:rFonts w:ascii="Times New Roman" w:eastAsia="Calibri" w:hAnsi="Times New Roman" w:cs="Times New Roman"/>
          <w:sz w:val="24"/>
          <w:szCs w:val="24"/>
          <w:lang w:val="uk-UA"/>
        </w:rPr>
      </w:pPr>
    </w:p>
    <w:p w:rsidR="00BA6D3D" w:rsidRPr="00462E3B" w:rsidRDefault="00BA6D3D" w:rsidP="000357C9">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BA6D3D" w:rsidRPr="00462E3B" w:rsidRDefault="00BA6D3D" w:rsidP="000357C9">
      <w:pPr>
        <w:spacing w:after="0" w:line="240" w:lineRule="auto"/>
        <w:ind w:right="-284" w:firstLine="567"/>
        <w:jc w:val="both"/>
        <w:rPr>
          <w:rFonts w:ascii="Times New Roman" w:eastAsia="Calibri" w:hAnsi="Times New Roman" w:cs="Times New Roman"/>
          <w:noProof/>
          <w:sz w:val="24"/>
          <w:szCs w:val="24"/>
          <w:lang w:val="uk-UA" w:eastAsia="uk-UA"/>
        </w:rPr>
      </w:pPr>
    </w:p>
    <w:p w:rsidR="00BA6D3D" w:rsidRPr="00462E3B" w:rsidRDefault="00BA6D3D" w:rsidP="000357C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0357C9">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ом Савченком О.І.</w:t>
      </w:r>
      <w:r w:rsidRPr="00462E3B">
        <w:rPr>
          <w:rFonts w:ascii="Times New Roman" w:eastAsia="Calibri" w:hAnsi="Times New Roman" w:cs="Times New Roman"/>
          <w:sz w:val="28"/>
          <w:szCs w:val="28"/>
          <w:lang w:val="uk-UA"/>
        </w:rPr>
        <w:t xml:space="preserve"> </w:t>
      </w:r>
    </w:p>
    <w:p w:rsidR="00BA6D3D" w:rsidRPr="00462E3B" w:rsidRDefault="00BA6D3D" w:rsidP="000357C9">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w:t>
      </w:r>
      <w:r w:rsidRPr="00462E3B">
        <w:rPr>
          <w:rFonts w:ascii="Times New Roman" w:eastAsia="Calibri" w:hAnsi="Times New Roman" w:cs="Times New Roman"/>
          <w:sz w:val="28"/>
          <w:szCs w:val="28"/>
          <w:lang w:val="uk-UA"/>
        </w:rPr>
        <w:t xml:space="preserve">(протокол розподілу від </w:t>
      </w:r>
      <w:r>
        <w:rPr>
          <w:rFonts w:ascii="Times New Roman" w:eastAsia="Calibri" w:hAnsi="Times New Roman" w:cs="Times New Roman"/>
          <w:sz w:val="28"/>
          <w:szCs w:val="28"/>
          <w:lang w:val="uk-UA"/>
        </w:rPr>
        <w:t>10 жовтня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2025</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року). </w:t>
      </w:r>
    </w:p>
    <w:p w:rsidR="00BA6D3D" w:rsidRPr="00462E3B" w:rsidRDefault="00BA6D3D" w:rsidP="000357C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BA6D3D" w:rsidRPr="00462E3B" w:rsidRDefault="00BA6D3D" w:rsidP="000357C9">
      <w:pPr>
        <w:spacing w:after="0" w:line="240" w:lineRule="auto"/>
        <w:ind w:right="-284"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BA6D3D" w:rsidRDefault="00BA6D3D" w:rsidP="000357C9">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BA6D3D" w:rsidRPr="00462E3B" w:rsidRDefault="00BA6D3D" w:rsidP="000357C9">
      <w:pPr>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Дисциплінарна скарга не відповідає рекомендованому зразку, водночас з  її  тексту можна вважати, що, прокурор Савченко О.І. вчинив дисциплінарний  проступок, передбачений пунктом 1 (невиконання чи неналежне виконання службових обов’язків) частини першої статті 43 </w:t>
      </w:r>
      <w:r w:rsidRPr="00C405B7">
        <w:rPr>
          <w:rFonts w:ascii="Times New Roman" w:eastAsia="Calibri" w:hAnsi="Times New Roman" w:cs="Times New Roman"/>
          <w:sz w:val="28"/>
          <w:szCs w:val="28"/>
          <w:lang w:val="uk-UA"/>
        </w:rPr>
        <w:t>Закону</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 (далі</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Закон №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 xml:space="preserve"> VII)</w:t>
      </w:r>
      <w:r>
        <w:rPr>
          <w:rFonts w:ascii="Times New Roman" w:eastAsia="Calibri" w:hAnsi="Times New Roman" w:cs="Times New Roman"/>
          <w:sz w:val="28"/>
          <w:szCs w:val="28"/>
          <w:lang w:val="uk-UA"/>
        </w:rPr>
        <w:t xml:space="preserve"> за таких обставин.</w:t>
      </w:r>
    </w:p>
    <w:p w:rsidR="00BA6D3D" w:rsidRDefault="00BA6D3D" w:rsidP="000357C9">
      <w:pPr>
        <w:tabs>
          <w:tab w:val="left" w:pos="567"/>
        </w:tabs>
        <w:spacing w:after="0" w:line="240" w:lineRule="auto"/>
        <w:ind w:right="-284"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У провадженні підрозділу детективів ТУ БЕБ у Полтавській області  перебуває кримінальне провадження </w:t>
      </w:r>
      <w:r>
        <w:rPr>
          <w:rFonts w:ascii="Times New Roman" w:eastAsia="Calibri" w:hAnsi="Times New Roman" w:cs="Times New Roman"/>
          <w:sz w:val="28"/>
          <w:szCs w:val="28"/>
          <w:shd w:val="clear" w:color="auto" w:fill="FFFFFF"/>
          <w:lang w:val="uk-UA"/>
        </w:rPr>
        <w:t>№ </w:t>
      </w:r>
      <w:r w:rsidR="000357C9">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за ознаками кримінального правопорушення, передбаченого частиною четвертою статті 191 КК України.</w:t>
      </w:r>
    </w:p>
    <w:p w:rsidR="00BA6D3D" w:rsidRDefault="00BA6D3D" w:rsidP="000357C9">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lastRenderedPageBreak/>
        <w:t xml:space="preserve">Процесуальне керівництво досудовим розслідуванням у цьому провадженні здійснюється Полтавською обласною прокуратурою, зокрема  прокурором Савченком О.І., яким, на думку скаржника, </w:t>
      </w:r>
      <w:r>
        <w:rPr>
          <w:rFonts w:ascii="Times New Roman" w:eastAsia="Calibri" w:hAnsi="Times New Roman" w:cs="Times New Roman"/>
          <w:sz w:val="28"/>
          <w:szCs w:val="28"/>
          <w:lang w:val="uk-UA"/>
        </w:rPr>
        <w:t xml:space="preserve">всупереч вимог частини 3, 4 статті 19 Закону </w:t>
      </w:r>
      <w:r w:rsidRPr="00C405B7">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w:t>
      </w:r>
      <w:r>
        <w:rPr>
          <w:rFonts w:ascii="Times New Roman" w:eastAsia="Calibri" w:hAnsi="Times New Roman" w:cs="Times New Roman"/>
          <w:sz w:val="28"/>
          <w:szCs w:val="28"/>
          <w:lang w:val="uk-UA"/>
        </w:rPr>
        <w:t>, статей 2, 9, 36, 234 КПК України та пункту 11.4 наказу Генерального прокурора від 30.09.2021 № 309 «Про організацію діяльності прокурорів у кримінальному провадженні</w:t>
      </w:r>
      <w:r w:rsidRPr="003F301E">
        <w:rPr>
          <w:rFonts w:ascii="Times New Roman" w:eastAsia="Calibri" w:hAnsi="Times New Roman" w:cs="Times New Roman"/>
          <w:sz w:val="24"/>
          <w:szCs w:val="28"/>
          <w:lang w:val="uk-UA"/>
        </w:rPr>
        <w:t>»</w:t>
      </w:r>
      <w:r>
        <w:rPr>
          <w:rFonts w:ascii="Times New Roman" w:eastAsia="Calibri" w:hAnsi="Times New Roman" w:cs="Times New Roman"/>
          <w:sz w:val="28"/>
          <w:szCs w:val="28"/>
          <w:lang w:val="uk-UA"/>
        </w:rPr>
        <w:t xml:space="preserve"> погоджено клопотання старшого детектива ТУ БЕБ у Полтавській області до суду про надання дозволу на проведення обшуку за місцем проживання </w:t>
      </w:r>
      <w:r w:rsidR="000357C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оскільки у клопотанні відсутні докази причетності скаржника до вчинення ним кримінального правопорушення та про їх знаходження за </w:t>
      </w:r>
      <w:proofErr w:type="spellStart"/>
      <w:r>
        <w:rPr>
          <w:rFonts w:ascii="Times New Roman" w:eastAsia="Calibri" w:hAnsi="Times New Roman" w:cs="Times New Roman"/>
          <w:sz w:val="28"/>
          <w:szCs w:val="28"/>
          <w:lang w:val="uk-UA"/>
        </w:rPr>
        <w:t>адресою</w:t>
      </w:r>
      <w:proofErr w:type="spellEnd"/>
      <w:r>
        <w:rPr>
          <w:rFonts w:ascii="Times New Roman" w:eastAsia="Calibri" w:hAnsi="Times New Roman" w:cs="Times New Roman"/>
          <w:sz w:val="28"/>
          <w:szCs w:val="28"/>
          <w:lang w:val="uk-UA"/>
        </w:rPr>
        <w:t xml:space="preserve"> помешкання </w:t>
      </w:r>
      <w:r w:rsidR="000357C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w:t>
      </w:r>
    </w:p>
    <w:p w:rsidR="00BA6D3D" w:rsidRDefault="00BA6D3D" w:rsidP="000357C9">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вважає, що ухвалене слідчим суддею Київського районного суду м Полтави рішення від 25.12.2024 про задоволення клопотання та надання дозволу на проведення обшуку, є втручанням у приватне сімейне життя громадян, які спільно мешкають з </w:t>
      </w:r>
      <w:r w:rsidR="000357C9">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Це також свідчить про неналежне виконання прокурором Савченком О.І. службових обов’язків під час здійснення ним повноважень у кримінальному провадженні, що є підставою для притягнення його до дисциплінарної відповідальності за вчинення дисциплінарного проступку.  </w:t>
      </w:r>
    </w:p>
    <w:p w:rsidR="00BA6D3D" w:rsidRDefault="00BA6D3D" w:rsidP="000357C9">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rsidR="00BA6D3D" w:rsidRDefault="00BA6D3D" w:rsidP="000357C9">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BA6D3D" w:rsidRPr="00462E3B" w:rsidRDefault="00BA6D3D" w:rsidP="000357C9">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BA6D3D" w:rsidRPr="00462E3B" w:rsidRDefault="00BA6D3D" w:rsidP="000357C9">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 посадової інструкції начальника </w:t>
      </w:r>
      <w:proofErr w:type="spellStart"/>
      <w:r>
        <w:rPr>
          <w:rFonts w:ascii="Times New Roman" w:eastAsia="Calibri" w:hAnsi="Times New Roman" w:cs="Times New Roman"/>
          <w:sz w:val="28"/>
          <w:szCs w:val="28"/>
          <w:shd w:val="clear" w:color="auto" w:fill="FFFFFF"/>
          <w:lang w:val="uk-UA"/>
        </w:rPr>
        <w:t>Салтівської</w:t>
      </w:r>
      <w:proofErr w:type="spellEnd"/>
      <w:r>
        <w:rPr>
          <w:rFonts w:ascii="Times New Roman" w:eastAsia="Calibri" w:hAnsi="Times New Roman" w:cs="Times New Roman"/>
          <w:sz w:val="28"/>
          <w:szCs w:val="28"/>
          <w:shd w:val="clear" w:color="auto" w:fill="FFFFFF"/>
          <w:lang w:val="uk-UA"/>
        </w:rPr>
        <w:t xml:space="preserve"> котельні </w:t>
      </w:r>
      <w:proofErr w:type="spellStart"/>
      <w:r>
        <w:rPr>
          <w:rFonts w:ascii="Times New Roman" w:eastAsia="Calibri" w:hAnsi="Times New Roman" w:cs="Times New Roman"/>
          <w:sz w:val="28"/>
          <w:szCs w:val="28"/>
          <w:shd w:val="clear" w:color="auto" w:fill="FFFFFF"/>
          <w:lang w:val="uk-UA"/>
        </w:rPr>
        <w:t>Салтівської</w:t>
      </w:r>
      <w:proofErr w:type="spellEnd"/>
      <w:r>
        <w:rPr>
          <w:rFonts w:ascii="Times New Roman" w:eastAsia="Calibri" w:hAnsi="Times New Roman" w:cs="Times New Roman"/>
          <w:sz w:val="28"/>
          <w:szCs w:val="28"/>
          <w:shd w:val="clear" w:color="auto" w:fill="FFFFFF"/>
          <w:lang w:val="uk-UA"/>
        </w:rPr>
        <w:t xml:space="preserve"> філії КП «Харківські теплові мережі» </w:t>
      </w:r>
      <w:r w:rsidR="000357C9">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1-7, 10-11 </w:t>
      </w:r>
      <w:proofErr w:type="spellStart"/>
      <w:r>
        <w:rPr>
          <w:rFonts w:ascii="Times New Roman" w:eastAsia="Calibri" w:hAnsi="Times New Roman" w:cs="Times New Roman"/>
          <w:sz w:val="28"/>
          <w:szCs w:val="28"/>
          <w:shd w:val="clear" w:color="auto" w:fill="FFFFFF"/>
          <w:lang w:val="uk-UA"/>
        </w:rPr>
        <w:t>арк</w:t>
      </w:r>
      <w:proofErr w:type="spellEnd"/>
      <w:r>
        <w:rPr>
          <w:rFonts w:ascii="Times New Roman" w:eastAsia="Calibri" w:hAnsi="Times New Roman" w:cs="Times New Roman"/>
          <w:sz w:val="28"/>
          <w:szCs w:val="28"/>
          <w:shd w:val="clear" w:color="auto" w:fill="FFFFFF"/>
          <w:lang w:val="uk-UA"/>
        </w:rPr>
        <w:t xml:space="preserve">. паспорту  </w:t>
      </w:r>
      <w:r w:rsidR="000357C9">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ухвал слідчого судді Київського районного суду м. Полтави від 23.12.2024, 25.12.2025 та 30.05.2025 (справа №</w:t>
      </w:r>
      <w:r w:rsidR="000357C9">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протоколу обшуку від 21.01.2025; студентського квитка </w:t>
      </w:r>
      <w:r w:rsidR="000357C9">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фіскальних </w:t>
      </w:r>
      <w:proofErr w:type="spellStart"/>
      <w:r>
        <w:rPr>
          <w:rFonts w:ascii="Times New Roman" w:eastAsia="Calibri" w:hAnsi="Times New Roman" w:cs="Times New Roman"/>
          <w:sz w:val="28"/>
          <w:szCs w:val="28"/>
          <w:shd w:val="clear" w:color="auto" w:fill="FFFFFF"/>
          <w:lang w:val="uk-UA"/>
        </w:rPr>
        <w:t>чеків</w:t>
      </w:r>
      <w:proofErr w:type="spellEnd"/>
      <w:r>
        <w:rPr>
          <w:rFonts w:ascii="Times New Roman" w:eastAsia="Calibri" w:hAnsi="Times New Roman" w:cs="Times New Roman"/>
          <w:sz w:val="28"/>
          <w:szCs w:val="28"/>
          <w:shd w:val="clear" w:color="auto" w:fill="FFFFFF"/>
          <w:lang w:val="uk-UA"/>
        </w:rPr>
        <w:t xml:space="preserve">.   </w:t>
      </w:r>
      <w:r w:rsidRPr="00462E3B">
        <w:rPr>
          <w:rFonts w:ascii="Times New Roman" w:eastAsia="Calibri" w:hAnsi="Times New Roman" w:cs="Times New Roman"/>
          <w:sz w:val="28"/>
          <w:szCs w:val="28"/>
          <w:lang w:val="uk-UA"/>
        </w:rPr>
        <w:t xml:space="preserve"> </w:t>
      </w:r>
    </w:p>
    <w:p w:rsidR="00BA6D3D" w:rsidRPr="00037033" w:rsidRDefault="00BA6D3D" w:rsidP="000357C9">
      <w:pPr>
        <w:tabs>
          <w:tab w:val="left" w:pos="567"/>
        </w:tabs>
        <w:spacing w:after="0" w:line="240" w:lineRule="auto"/>
        <w:ind w:right="-284" w:firstLine="567"/>
        <w:jc w:val="both"/>
        <w:rPr>
          <w:rFonts w:ascii="Times New Roman" w:eastAsia="Calibri" w:hAnsi="Times New Roman" w:cs="Times New Roman"/>
          <w:sz w:val="28"/>
          <w:szCs w:val="28"/>
          <w:lang w:val="uk-UA"/>
        </w:rPr>
      </w:pPr>
    </w:p>
    <w:p w:rsidR="00BA6D3D" w:rsidRDefault="00BA6D3D" w:rsidP="000357C9">
      <w:pPr>
        <w:tabs>
          <w:tab w:val="left" w:pos="567"/>
        </w:tabs>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Джерела права, які підлягають застосуванню</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України «Про прокуратуру» визначено, що </w:t>
      </w:r>
      <w:bookmarkStart w:id="0" w:name="n417"/>
      <w:bookmarkEnd w:id="0"/>
      <w:r>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 w:name="n418"/>
      <w:bookmarkEnd w:id="1"/>
      <w:r>
        <w:rPr>
          <w:rFonts w:ascii="Times New Roman" w:eastAsia="Calibri" w:hAnsi="Times New Roman" w:cs="Times New Roman"/>
          <w:sz w:val="28"/>
          <w:szCs w:val="28"/>
          <w:lang w:val="uk-UA"/>
        </w:rPr>
        <w:t>1) невиконання чи неналежне виконання службових обов’язків;</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2" w:name="n419"/>
      <w:bookmarkEnd w:id="2"/>
      <w:r>
        <w:rPr>
          <w:rFonts w:ascii="Times New Roman" w:eastAsia="Calibri" w:hAnsi="Times New Roman" w:cs="Times New Roman"/>
          <w:sz w:val="28"/>
          <w:szCs w:val="28"/>
          <w:lang w:val="uk-UA"/>
        </w:rPr>
        <w:t>2) необґрунтоване зволікання з розглядом звернення;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3" w:name="n420"/>
      <w:bookmarkEnd w:id="3"/>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21"/>
      <w:bookmarkEnd w:id="4"/>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6" w:name="n422"/>
      <w:bookmarkEnd w:id="6"/>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3"/>
      <w:bookmarkEnd w:id="7"/>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8" w:name="n424"/>
      <w:bookmarkEnd w:id="8"/>
      <w:r>
        <w:rPr>
          <w:rFonts w:ascii="Times New Roman" w:eastAsia="Calibri" w:hAnsi="Times New Roman" w:cs="Times New Roman"/>
          <w:sz w:val="28"/>
          <w:szCs w:val="28"/>
          <w:lang w:val="uk-UA"/>
        </w:rPr>
        <w:t>7) порушення правил внутрішнього службового розпорядку;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5"/>
      <w:bookmarkEnd w:id="9"/>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6"/>
      <w:bookmarkEnd w:id="10"/>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Вивченням доводів, наведених скаржником, мною встановлено, що ним оскаржується рішення, дії (бездіяльність) прокурора Савченка О.І. в межах кримінального процесу, зокрема неналежне, на його думку, виконання ним  службових обов’язків під час здійснення процесуального керівництва  досудовим розслідуванням у кримінальному провадженні № </w:t>
      </w:r>
      <w:r w:rsidR="000357C9">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У зв’язку з цим необхідно зауважити таке.</w:t>
      </w:r>
    </w:p>
    <w:p w:rsidR="00BA6D3D" w:rsidRDefault="00BA6D3D" w:rsidP="000357C9">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Судових рішень чи рішень прокурора вищого рівня про визнання неправомірними дій прокурора Савченка О.І.</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w:t>
      </w:r>
      <w:r>
        <w:rPr>
          <w:rFonts w:ascii="Times New Roman" w:eastAsia="Times New Roman" w:hAnsi="Times New Roman" w:cs="Times New Roman"/>
          <w:sz w:val="28"/>
          <w:szCs w:val="28"/>
          <w:lang w:val="uk-UA" w:eastAsia="ru-RU"/>
        </w:rPr>
        <w:lastRenderedPageBreak/>
        <w:t>завідомо неправомірні, неякісні, вчинені всупереч закону та про такі, що потягли настання певних негативних наслідків дії або бездіяльність прокурора Савченка</w:t>
      </w:r>
      <w:r w:rsidR="000357C9">
        <w:rPr>
          <w:rFonts w:ascii="Times New Roman" w:eastAsia="Times New Roman" w:hAnsi="Times New Roman" w:cs="Times New Roman"/>
          <w:sz w:val="28"/>
          <w:szCs w:val="28"/>
          <w:lang w:val="uk-UA" w:eastAsia="ru-RU"/>
        </w:rPr>
        <w:t> </w:t>
      </w:r>
      <w:bookmarkStart w:id="11" w:name="_GoBack"/>
      <w:bookmarkEnd w:id="11"/>
      <w:r>
        <w:rPr>
          <w:rFonts w:ascii="Times New Roman" w:eastAsia="Times New Roman" w:hAnsi="Times New Roman" w:cs="Times New Roman"/>
          <w:sz w:val="28"/>
          <w:szCs w:val="28"/>
          <w:lang w:val="uk-UA" w:eastAsia="ru-RU"/>
        </w:rPr>
        <w:t>О.І.</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під час виконання ним службових повноважень.</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наведених скаржником доводів не вбачається, що прокурором Савченком О.І.</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Таким чином, зважаючи на викладене, твердження скаржника про невиконання чи неналежне виконання службових обов’язків прокурором Савченком О.І.</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є припущенням, тобто суб’єктивною думкою.</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w:t>
      </w:r>
      <w:r>
        <w:rPr>
          <w:rFonts w:ascii="Times New Roman" w:eastAsia="Times New Roman" w:hAnsi="Times New Roman" w:cs="Times New Roman"/>
          <w:sz w:val="28"/>
          <w:szCs w:val="28"/>
          <w:lang w:val="uk-UA" w:eastAsia="ru-RU"/>
        </w:rPr>
        <w:lastRenderedPageBreak/>
        <w:t>не містить конкретних відомостей про наявність ознак дисциплінарного проступку в діях прокурора Савченка О.І., тому приходжу до висновку про необхідність відмови у відкритті дисциплінарного провадження.</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BA6D3D" w:rsidRDefault="00BA6D3D" w:rsidP="000357C9">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BA6D3D" w:rsidRDefault="00BA6D3D" w:rsidP="000357C9">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Pr>
          <w:rFonts w:ascii="Times New Roman" w:eastAsia="Calibri" w:hAnsi="Times New Roman" w:cs="Times New Roman"/>
          <w:b/>
          <w:color w:val="000000"/>
          <w:sz w:val="28"/>
          <w:szCs w:val="28"/>
          <w:shd w:val="clear" w:color="auto" w:fill="FFFFFF"/>
          <w:lang w:val="uk-UA" w:eastAsia="ru-RU"/>
        </w:rPr>
        <w:t>В И Р І Ш И Л А:</w:t>
      </w:r>
    </w:p>
    <w:p w:rsidR="00BA6D3D" w:rsidRDefault="00BA6D3D" w:rsidP="000357C9">
      <w:pPr>
        <w:widowControl w:val="0"/>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Відмовити у відкритті дисциплінарного провадження стосовно прокурора </w:t>
      </w:r>
      <w:r>
        <w:rPr>
          <w:rFonts w:ascii="Times New Roman" w:eastAsia="Calibri" w:hAnsi="Times New Roman" w:cs="Times New Roman"/>
          <w:sz w:val="28"/>
          <w:szCs w:val="28"/>
          <w:lang w:val="uk-UA"/>
        </w:rPr>
        <w:t>відділу нагляду за додержанням законів органами Бюро економічної безпеки України Полтавської обласної прокуратури Савченка О.І.</w:t>
      </w:r>
      <w:r>
        <w:rPr>
          <w:rFonts w:ascii="Times New Roman" w:hAnsi="Times New Roman"/>
          <w:sz w:val="28"/>
          <w:szCs w:val="28"/>
          <w:shd w:val="clear" w:color="auto" w:fill="FFFFFF"/>
          <w:lang w:val="uk-UA"/>
        </w:rPr>
        <w:t xml:space="preserve"> </w:t>
      </w:r>
    </w:p>
    <w:p w:rsidR="00BA6D3D" w:rsidRDefault="00BA6D3D" w:rsidP="000357C9">
      <w:pPr>
        <w:widowControl w:val="0"/>
        <w:spacing w:after="0" w:line="240" w:lineRule="auto"/>
        <w:ind w:right="-284" w:firstLine="708"/>
        <w:jc w:val="both"/>
        <w:rPr>
          <w:rFonts w:ascii="Times New Roman" w:hAnsi="Times New Roman"/>
          <w:sz w:val="16"/>
          <w:szCs w:val="16"/>
          <w:shd w:val="clear" w:color="auto" w:fill="FFFFFF"/>
          <w:lang w:val="uk-UA"/>
        </w:rPr>
      </w:pPr>
    </w:p>
    <w:p w:rsidR="00BA6D3D" w:rsidRDefault="00BA6D3D" w:rsidP="000357C9">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BA6D3D" w:rsidRDefault="00BA6D3D" w:rsidP="000357C9">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BA6D3D" w:rsidRDefault="00BA6D3D" w:rsidP="000357C9">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Член Кваліфікаційно-дисциплінарної</w:t>
      </w:r>
    </w:p>
    <w:p w:rsidR="00BA6D3D" w:rsidRDefault="00BA6D3D" w:rsidP="000357C9">
      <w:pPr>
        <w:widowControl w:val="0"/>
        <w:pBdr>
          <w:bottom w:val="single" w:sz="12" w:space="31" w:color="FFFFFF"/>
        </w:pBdr>
        <w:spacing w:after="0" w:line="240" w:lineRule="auto"/>
        <w:ind w:right="-284"/>
        <w:jc w:val="both"/>
        <w:rPr>
          <w:rFonts w:ascii="Times New Roman" w:eastAsia="Calibri" w:hAnsi="Times New Roman" w:cs="Times New Roman"/>
          <w:sz w:val="28"/>
          <w:szCs w:val="28"/>
          <w:lang w:val="uk-UA"/>
        </w:rPr>
      </w:pPr>
      <w:r>
        <w:rPr>
          <w:rFonts w:ascii="Times New Roman" w:eastAsia="Times New Roman" w:hAnsi="Times New Roman" w:cs="Times New Roman"/>
          <w:b/>
          <w:bCs/>
          <w:sz w:val="28"/>
          <w:szCs w:val="28"/>
          <w:lang w:val="uk-UA" w:eastAsia="ru-RU"/>
        </w:rPr>
        <w:t>комісії прокурорів</w:t>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t xml:space="preserve">                Ніна ГАРБУЗА</w:t>
      </w:r>
    </w:p>
    <w:p w:rsidR="008F5C42" w:rsidRDefault="008F5C42"/>
    <w:sectPr w:rsidR="008F5C42" w:rsidSect="00BA6D3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D2F" w:rsidRDefault="00526D2F" w:rsidP="00BA6D3D">
      <w:pPr>
        <w:spacing w:after="0" w:line="240" w:lineRule="auto"/>
      </w:pPr>
      <w:r>
        <w:separator/>
      </w:r>
    </w:p>
  </w:endnote>
  <w:endnote w:type="continuationSeparator" w:id="0">
    <w:p w:rsidR="00526D2F" w:rsidRDefault="00526D2F" w:rsidP="00BA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D2F" w:rsidRDefault="00526D2F" w:rsidP="00BA6D3D">
      <w:pPr>
        <w:spacing w:after="0" w:line="240" w:lineRule="auto"/>
      </w:pPr>
      <w:r>
        <w:separator/>
      </w:r>
    </w:p>
  </w:footnote>
  <w:footnote w:type="continuationSeparator" w:id="0">
    <w:p w:rsidR="00526D2F" w:rsidRDefault="00526D2F" w:rsidP="00BA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61547"/>
      <w:docPartObj>
        <w:docPartGallery w:val="Page Numbers (Top of Page)"/>
        <w:docPartUnique/>
      </w:docPartObj>
    </w:sdtPr>
    <w:sdtEndPr/>
    <w:sdtContent>
      <w:p w:rsidR="00BA6D3D" w:rsidRDefault="00BA6D3D">
        <w:pPr>
          <w:pStyle w:val="a3"/>
          <w:jc w:val="center"/>
        </w:pPr>
        <w:r>
          <w:fldChar w:fldCharType="begin"/>
        </w:r>
        <w:r>
          <w:instrText>PAGE   \* MERGEFORMAT</w:instrText>
        </w:r>
        <w:r>
          <w:fldChar w:fldCharType="separate"/>
        </w:r>
        <w:r w:rsidR="000357C9">
          <w:rPr>
            <w:noProof/>
          </w:rPr>
          <w:t>7</w:t>
        </w:r>
        <w:r>
          <w:fldChar w:fldCharType="end"/>
        </w:r>
      </w:p>
    </w:sdtContent>
  </w:sdt>
  <w:p w:rsidR="00BA6D3D" w:rsidRDefault="00BA6D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3D"/>
    <w:rsid w:val="000357C9"/>
    <w:rsid w:val="00526D2F"/>
    <w:rsid w:val="006D0967"/>
    <w:rsid w:val="008F5C42"/>
    <w:rsid w:val="00BA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9424"/>
  <w15:chartTrackingRefBased/>
  <w15:docId w15:val="{3ED452CD-C923-4F0B-A230-F9BF7375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6D3D"/>
  </w:style>
  <w:style w:type="paragraph" w:styleId="a5">
    <w:name w:val="footer"/>
    <w:basedOn w:val="a"/>
    <w:link w:val="a6"/>
    <w:uiPriority w:val="99"/>
    <w:unhideWhenUsed/>
    <w:rsid w:val="00BA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2429</Words>
  <Characters>13851</Characters>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2025-10-23T07:30:00Z</dcterms:created>
  <dcterms:modified xsi:type="dcterms:W3CDTF">2025-10-23T15:50:00Z</dcterms:modified>
</cp:coreProperties>
</file>