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26683F89" w:rsidR="00DF1239" w:rsidRPr="0016464A" w:rsidRDefault="00701115"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FF3964">
        <w:rPr>
          <w:rFonts w:ascii="Times New Roman" w:hAnsi="Times New Roman"/>
          <w:b/>
          <w:kern w:val="28"/>
          <w:sz w:val="28"/>
          <w:szCs w:val="28"/>
          <w:lang w:eastAsia="uk-UA"/>
        </w:rPr>
        <w:t>8</w:t>
      </w:r>
      <w:r w:rsidR="0016464A" w:rsidRPr="0016464A">
        <w:rPr>
          <w:rFonts w:ascii="Times New Roman" w:hAnsi="Times New Roman"/>
          <w:b/>
          <w:kern w:val="28"/>
          <w:sz w:val="28"/>
          <w:szCs w:val="28"/>
          <w:lang w:eastAsia="uk-UA"/>
        </w:rPr>
        <w:t xml:space="preserve"> </w:t>
      </w:r>
      <w:r w:rsidR="009F141F">
        <w:rPr>
          <w:rFonts w:ascii="Times New Roman" w:hAnsi="Times New Roman"/>
          <w:b/>
          <w:kern w:val="28"/>
          <w:sz w:val="28"/>
          <w:szCs w:val="28"/>
          <w:lang w:eastAsia="uk-UA"/>
        </w:rPr>
        <w:t>тра</w:t>
      </w:r>
      <w:r w:rsidR="003361DB">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FF3964">
        <w:rPr>
          <w:rFonts w:ascii="Times New Roman" w:hAnsi="Times New Roman"/>
          <w:b/>
          <w:kern w:val="28"/>
          <w:sz w:val="28"/>
          <w:szCs w:val="28"/>
          <w:lang w:eastAsia="uk-UA"/>
        </w:rPr>
        <w:t>41</w:t>
      </w:r>
      <w:r w:rsidR="009F141F">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3F9B3A0B" w14:textId="2FCEA4A6" w:rsidR="003361DB"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C37AD">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 xml:space="preserve">а </w:t>
      </w:r>
      <w:r w:rsidR="00FF3964">
        <w:rPr>
          <w:rFonts w:ascii="Times New Roman" w:hAnsi="Times New Roman"/>
          <w:sz w:val="28"/>
          <w:szCs w:val="28"/>
        </w:rPr>
        <w:t>(прокурорів) Криворізької північної окружної прокуратури Дніпропетровської області</w:t>
      </w:r>
      <w:r w:rsidR="00117B67" w:rsidRPr="0016464A">
        <w:rPr>
          <w:rFonts w:ascii="Times New Roman" w:hAnsi="Times New Roman"/>
          <w:sz w:val="28"/>
          <w:szCs w:val="28"/>
        </w:rPr>
        <w:t>,</w:t>
      </w:r>
    </w:p>
    <w:p w14:paraId="03D88896" w14:textId="77777777" w:rsidR="005C37AD" w:rsidRPr="003361DB" w:rsidRDefault="005C37AD" w:rsidP="00D85CED">
      <w:pPr>
        <w:pStyle w:val="a3"/>
        <w:tabs>
          <w:tab w:val="left" w:pos="567"/>
        </w:tabs>
        <w:ind w:firstLine="567"/>
        <w:jc w:val="both"/>
        <w:rPr>
          <w:rFonts w:ascii="Times New Roman" w:hAnsi="Times New Roman"/>
          <w:b/>
          <w:sz w:val="28"/>
          <w:szCs w:val="28"/>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4022F854" w:rsidR="00A04233" w:rsidRDefault="00FF3964" w:rsidP="00510F8D">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Д</w:t>
      </w:r>
      <w:r w:rsidR="0032608B" w:rsidRPr="0016464A">
        <w:rPr>
          <w:rFonts w:ascii="Times New Roman" w:hAnsi="Times New Roman"/>
          <w:sz w:val="28"/>
          <w:szCs w:val="28"/>
        </w:rPr>
        <w:t xml:space="preserve">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5C37AD">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1642BB">
        <w:rPr>
          <w:rFonts w:ascii="Times New Roman" w:hAnsi="Times New Roman"/>
          <w:sz w:val="28"/>
          <w:szCs w:val="28"/>
        </w:rPr>
        <w:t xml:space="preserve">, </w:t>
      </w:r>
      <w:r w:rsidR="00F073FB">
        <w:rPr>
          <w:rFonts w:ascii="Times New Roman" w:hAnsi="Times New Roman"/>
          <w:sz w:val="28"/>
          <w:szCs w:val="28"/>
        </w:rPr>
        <w:t xml:space="preserve">яка </w:t>
      </w:r>
      <w:r w:rsidR="001642BB">
        <w:rPr>
          <w:rFonts w:ascii="Times New Roman" w:hAnsi="Times New Roman"/>
          <w:sz w:val="28"/>
          <w:szCs w:val="28"/>
        </w:rPr>
        <w:t xml:space="preserve">подана в інтересах </w:t>
      </w:r>
      <w:r w:rsidR="005C37AD">
        <w:rPr>
          <w:rFonts w:ascii="Times New Roman" w:hAnsi="Times New Roman"/>
          <w:sz w:val="28"/>
          <w:szCs w:val="28"/>
        </w:rPr>
        <w:t>ОСОБА_2</w:t>
      </w:r>
      <w:r w:rsidR="001642BB">
        <w:rPr>
          <w:rFonts w:ascii="Times New Roman" w:hAnsi="Times New Roman"/>
          <w:sz w:val="28"/>
          <w:szCs w:val="28"/>
        </w:rPr>
        <w:t>,</w:t>
      </w:r>
      <w:r w:rsidR="00DC4C02" w:rsidRPr="0016464A">
        <w:rPr>
          <w:rFonts w:ascii="Times New Roman" w:hAnsi="Times New Roman"/>
          <w:sz w:val="28"/>
          <w:szCs w:val="28"/>
        </w:rPr>
        <w:t xml:space="preserve"> </w:t>
      </w:r>
      <w:r w:rsidR="0032608B"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Pr>
          <w:rFonts w:ascii="Times New Roman" w:hAnsi="Times New Roman"/>
          <w:sz w:val="28"/>
          <w:szCs w:val="28"/>
        </w:rPr>
        <w:t>прокурором (прокурорами) Криворізької північної окружної прокуратури Дніпропетровської області</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405A9D90"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701115">
        <w:rPr>
          <w:rFonts w:ascii="Times New Roman" w:hAnsi="Times New Roman"/>
          <w:sz w:val="28"/>
          <w:szCs w:val="28"/>
        </w:rPr>
        <w:t>0</w:t>
      </w:r>
      <w:r w:rsidR="00FF3964">
        <w:rPr>
          <w:rFonts w:ascii="Times New Roman" w:hAnsi="Times New Roman"/>
          <w:sz w:val="28"/>
          <w:szCs w:val="28"/>
        </w:rPr>
        <w:t>6</w:t>
      </w:r>
      <w:r w:rsidR="00D85CED">
        <w:rPr>
          <w:rFonts w:ascii="Times New Roman" w:hAnsi="Times New Roman"/>
          <w:sz w:val="28"/>
          <w:szCs w:val="28"/>
        </w:rPr>
        <w:t xml:space="preserve"> </w:t>
      </w:r>
      <w:r w:rsidR="00701115">
        <w:rPr>
          <w:rFonts w:ascii="Times New Roman" w:hAnsi="Times New Roman"/>
          <w:sz w:val="28"/>
          <w:szCs w:val="28"/>
        </w:rPr>
        <w:t>тра</w:t>
      </w:r>
      <w:r w:rsidR="003361DB">
        <w:rPr>
          <w:rFonts w:ascii="Times New Roman" w:hAnsi="Times New Roman"/>
          <w:sz w:val="28"/>
          <w:szCs w:val="28"/>
        </w:rPr>
        <w:t>в</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36E10075"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w:t>
      </w:r>
      <w:r w:rsidR="00D94F7A">
        <w:rPr>
          <w:rFonts w:ascii="Times New Roman" w:hAnsi="Times New Roman"/>
          <w:sz w:val="28"/>
          <w:szCs w:val="28"/>
        </w:rPr>
        <w:t>,</w:t>
      </w:r>
      <w:r w:rsidRPr="00F92795">
        <w:rPr>
          <w:rFonts w:ascii="Times New Roman" w:hAnsi="Times New Roman"/>
          <w:sz w:val="28"/>
          <w:szCs w:val="28"/>
        </w:rPr>
        <w:t xml:space="preserve">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17E55C9" w14:textId="615AA7C3" w:rsidR="00FF3964"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t xml:space="preserve">Скаржник зазначив, що </w:t>
      </w:r>
      <w:r w:rsidR="00C34E5D">
        <w:rPr>
          <w:rFonts w:ascii="Times New Roman" w:hAnsi="Times New Roman"/>
          <w:sz w:val="28"/>
          <w:szCs w:val="28"/>
        </w:rPr>
        <w:t xml:space="preserve">посадовими особами Криворізької північної окружної прокуратури Дніпропетровської області та ВП № 3 КРУП ГУНП в Дніпропетровській області створено регіональну схему використання «штатних» свідків сторони обвинувачення, </w:t>
      </w:r>
      <w:r w:rsidR="00456458">
        <w:rPr>
          <w:rFonts w:ascii="Times New Roman" w:hAnsi="Times New Roman"/>
          <w:sz w:val="28"/>
          <w:szCs w:val="28"/>
        </w:rPr>
        <w:t>які</w:t>
      </w:r>
      <w:r w:rsidR="00C34E5D">
        <w:rPr>
          <w:rFonts w:ascii="Times New Roman" w:hAnsi="Times New Roman"/>
          <w:sz w:val="28"/>
          <w:szCs w:val="28"/>
        </w:rPr>
        <w:t xml:space="preserve"> перебувають у повній процесуальній залежності від органів прокуратури.</w:t>
      </w:r>
    </w:p>
    <w:p w14:paraId="3AC3418E" w14:textId="4B5252A7" w:rsidR="00C34E5D" w:rsidRDefault="000E5C4E"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sz w:val="28"/>
          <w:szCs w:val="28"/>
        </w:rPr>
        <w:t>Про зазначене</w:t>
      </w:r>
      <w:r w:rsidR="00456458">
        <w:rPr>
          <w:rFonts w:ascii="Times New Roman" w:hAnsi="Times New Roman"/>
          <w:sz w:val="28"/>
          <w:szCs w:val="28"/>
        </w:rPr>
        <w:t xml:space="preserve">, на його думку, </w:t>
      </w:r>
      <w:r>
        <w:rPr>
          <w:rFonts w:ascii="Times New Roman" w:hAnsi="Times New Roman"/>
          <w:sz w:val="28"/>
          <w:szCs w:val="28"/>
        </w:rPr>
        <w:t>свідчить</w:t>
      </w:r>
      <w:r w:rsidR="00456458">
        <w:rPr>
          <w:rFonts w:ascii="Times New Roman" w:hAnsi="Times New Roman"/>
          <w:sz w:val="28"/>
          <w:szCs w:val="28"/>
        </w:rPr>
        <w:t xml:space="preserve"> </w:t>
      </w:r>
      <w:r>
        <w:rPr>
          <w:rFonts w:ascii="Times New Roman" w:hAnsi="Times New Roman"/>
          <w:sz w:val="28"/>
          <w:szCs w:val="28"/>
        </w:rPr>
        <w:t>кримінальне провадження № </w:t>
      </w:r>
      <w:r w:rsidR="00926B05">
        <w:rPr>
          <w:rFonts w:ascii="Times New Roman" w:hAnsi="Times New Roman"/>
          <w:sz w:val="28"/>
          <w:szCs w:val="28"/>
        </w:rPr>
        <w:t>(конфіденційна інформація)</w:t>
      </w:r>
      <w:r>
        <w:rPr>
          <w:rFonts w:ascii="Times New Roman" w:hAnsi="Times New Roman"/>
          <w:sz w:val="28"/>
          <w:szCs w:val="28"/>
        </w:rPr>
        <w:t xml:space="preserve"> від 13 жовтня 2023 року стосовно </w:t>
      </w:r>
      <w:r w:rsidR="005C37AD">
        <w:rPr>
          <w:rFonts w:ascii="Times New Roman" w:hAnsi="Times New Roman"/>
          <w:sz w:val="28"/>
          <w:szCs w:val="28"/>
        </w:rPr>
        <w:t>ОСОБА_2</w:t>
      </w:r>
      <w:r>
        <w:rPr>
          <w:rFonts w:ascii="Times New Roman" w:hAnsi="Times New Roman"/>
          <w:sz w:val="28"/>
          <w:szCs w:val="28"/>
        </w:rPr>
        <w:t xml:space="preserve">, </w:t>
      </w:r>
      <w:r w:rsidR="00926B05">
        <w:rPr>
          <w:rFonts w:ascii="Times New Roman" w:hAnsi="Times New Roman"/>
          <w:sz w:val="28"/>
          <w:szCs w:val="28"/>
        </w:rPr>
        <w:br/>
      </w:r>
      <w:r>
        <w:rPr>
          <w:rFonts w:ascii="Times New Roman" w:hAnsi="Times New Roman"/>
          <w:sz w:val="28"/>
          <w:szCs w:val="28"/>
        </w:rPr>
        <w:t xml:space="preserve">у якому ключовим свідком обвинувачення є </w:t>
      </w:r>
      <w:r w:rsidR="005C37AD">
        <w:rPr>
          <w:rFonts w:ascii="Times New Roman" w:hAnsi="Times New Roman"/>
          <w:sz w:val="28"/>
          <w:szCs w:val="28"/>
        </w:rPr>
        <w:t>ОСОБА_3</w:t>
      </w:r>
      <w:r>
        <w:rPr>
          <w:rFonts w:ascii="Times New Roman" w:hAnsi="Times New Roman"/>
          <w:sz w:val="28"/>
          <w:szCs w:val="28"/>
        </w:rPr>
        <w:t>.</w:t>
      </w:r>
    </w:p>
    <w:p w14:paraId="757E62B1" w14:textId="00A5C8BE" w:rsidR="000E5C4E" w:rsidRDefault="00AE4B8C"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sz w:val="28"/>
          <w:szCs w:val="28"/>
        </w:rPr>
        <w:t>Так</w:t>
      </w:r>
      <w:r w:rsidR="000E5C4E">
        <w:rPr>
          <w:rFonts w:ascii="Times New Roman" w:hAnsi="Times New Roman"/>
          <w:sz w:val="28"/>
          <w:szCs w:val="28"/>
        </w:rPr>
        <w:t xml:space="preserve">, </w:t>
      </w:r>
      <w:proofErr w:type="spellStart"/>
      <w:r w:rsidR="000E5C4E">
        <w:rPr>
          <w:rFonts w:ascii="Times New Roman" w:hAnsi="Times New Roman"/>
          <w:sz w:val="28"/>
          <w:szCs w:val="28"/>
        </w:rPr>
        <w:t>вироком</w:t>
      </w:r>
      <w:proofErr w:type="spellEnd"/>
      <w:r w:rsidR="000E5C4E">
        <w:rPr>
          <w:rFonts w:ascii="Times New Roman" w:hAnsi="Times New Roman"/>
          <w:sz w:val="28"/>
          <w:szCs w:val="28"/>
        </w:rPr>
        <w:t xml:space="preserve"> Жовтневого районного суду м. Кривого Рогу Дніпропетровської області від 25 жовтня 2024 року </w:t>
      </w:r>
      <w:r w:rsidR="005C37AD">
        <w:rPr>
          <w:rFonts w:ascii="Times New Roman" w:hAnsi="Times New Roman"/>
          <w:sz w:val="28"/>
          <w:szCs w:val="28"/>
        </w:rPr>
        <w:t xml:space="preserve">ОСОБА_2 </w:t>
      </w:r>
      <w:r w:rsidR="000E5C4E">
        <w:rPr>
          <w:rFonts w:ascii="Times New Roman" w:hAnsi="Times New Roman"/>
          <w:sz w:val="28"/>
          <w:szCs w:val="28"/>
        </w:rPr>
        <w:t xml:space="preserve">засуджено </w:t>
      </w:r>
      <w:r w:rsidR="000E5C4E">
        <w:rPr>
          <w:rFonts w:ascii="Times New Roman" w:hAnsi="Times New Roman"/>
          <w:sz w:val="28"/>
          <w:szCs w:val="28"/>
        </w:rPr>
        <w:br/>
        <w:t>за частиною першою статті 121 Кримінального кодексу України на дев’ять років позбавлення волі.</w:t>
      </w:r>
    </w:p>
    <w:p w14:paraId="4C8E9653" w14:textId="214DC357" w:rsidR="000E5C4E" w:rsidRDefault="000E5C4E" w:rsidP="000E5C4E">
      <w:pPr>
        <w:widowControl w:val="0"/>
        <w:tabs>
          <w:tab w:val="left" w:pos="567"/>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sz w:val="28"/>
          <w:szCs w:val="28"/>
        </w:rPr>
        <w:t>Вказане підтверджується аналізом судової історії</w:t>
      </w:r>
      <w:r w:rsidRPr="000E5C4E">
        <w:rPr>
          <w:rFonts w:ascii="Times New Roman" w:hAnsi="Times New Roman"/>
          <w:sz w:val="28"/>
          <w:szCs w:val="28"/>
        </w:rPr>
        <w:t xml:space="preserve"> </w:t>
      </w:r>
      <w:r w:rsidR="005C37AD">
        <w:rPr>
          <w:rFonts w:ascii="Times New Roman" w:hAnsi="Times New Roman"/>
          <w:sz w:val="28"/>
          <w:szCs w:val="28"/>
        </w:rPr>
        <w:t xml:space="preserve">ОСОБА_3 </w:t>
      </w:r>
      <w:r w:rsidR="00DC78B0">
        <w:rPr>
          <w:rFonts w:ascii="Times New Roman" w:hAnsi="Times New Roman"/>
          <w:sz w:val="28"/>
          <w:szCs w:val="28"/>
        </w:rPr>
        <w:t>(справи № № </w:t>
      </w:r>
      <w:r w:rsidR="005C37AD">
        <w:rPr>
          <w:rFonts w:ascii="Times New Roman" w:hAnsi="Times New Roman"/>
          <w:sz w:val="28"/>
          <w:szCs w:val="28"/>
        </w:rPr>
        <w:t>Конфіденційна інформація</w:t>
      </w:r>
      <w:r w:rsidR="00DC78B0">
        <w:rPr>
          <w:rFonts w:ascii="Times New Roman" w:hAnsi="Times New Roman"/>
          <w:sz w:val="28"/>
          <w:szCs w:val="28"/>
        </w:rPr>
        <w:t>)</w:t>
      </w:r>
      <w:r w:rsidRPr="00DC78B0">
        <w:rPr>
          <w:rFonts w:ascii="Times New Roman" w:hAnsi="Times New Roman"/>
          <w:sz w:val="28"/>
          <w:szCs w:val="28"/>
        </w:rPr>
        <w:t>, згідно</w:t>
      </w:r>
      <w:r>
        <w:rPr>
          <w:rFonts w:ascii="Times New Roman" w:hAnsi="Times New Roman"/>
          <w:sz w:val="28"/>
          <w:szCs w:val="28"/>
        </w:rPr>
        <w:t xml:space="preserve"> з як</w:t>
      </w:r>
      <w:r w:rsidR="00DC78B0">
        <w:rPr>
          <w:rFonts w:ascii="Times New Roman" w:hAnsi="Times New Roman"/>
          <w:sz w:val="28"/>
          <w:szCs w:val="28"/>
        </w:rPr>
        <w:t>им</w:t>
      </w:r>
      <w:r>
        <w:rPr>
          <w:rFonts w:ascii="Times New Roman" w:hAnsi="Times New Roman"/>
          <w:sz w:val="28"/>
          <w:szCs w:val="28"/>
        </w:rPr>
        <w:t xml:space="preserve"> він</w:t>
      </w:r>
      <w:r w:rsidR="00DC78B0">
        <w:rPr>
          <w:rFonts w:ascii="Times New Roman" w:hAnsi="Times New Roman"/>
          <w:sz w:val="28"/>
          <w:szCs w:val="28"/>
        </w:rPr>
        <w:t xml:space="preserve"> забезпечується процесуальними пільгами в інших кримінальних провадженнях, м’якими </w:t>
      </w:r>
      <w:r w:rsidR="00DC78B0">
        <w:rPr>
          <w:rFonts w:ascii="Times New Roman" w:hAnsi="Times New Roman"/>
          <w:sz w:val="28"/>
          <w:szCs w:val="28"/>
        </w:rPr>
        <w:lastRenderedPageBreak/>
        <w:t>угодами про визнання винуватості, застосуванням іспитового строку тощо.</w:t>
      </w:r>
    </w:p>
    <w:p w14:paraId="55E75B3B" w14:textId="3BE2A7AA" w:rsidR="00DC78B0" w:rsidRDefault="00DC78B0"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sz w:val="28"/>
          <w:szCs w:val="28"/>
        </w:rPr>
        <w:t xml:space="preserve">На переконання скаржника, </w:t>
      </w:r>
      <w:r w:rsidR="00AE4B8C">
        <w:rPr>
          <w:rFonts w:ascii="Times New Roman" w:hAnsi="Times New Roman"/>
          <w:sz w:val="28"/>
          <w:szCs w:val="28"/>
        </w:rPr>
        <w:t xml:space="preserve">така практика </w:t>
      </w:r>
      <w:r>
        <w:rPr>
          <w:rFonts w:ascii="Times New Roman" w:hAnsi="Times New Roman"/>
          <w:sz w:val="28"/>
          <w:szCs w:val="28"/>
        </w:rPr>
        <w:t xml:space="preserve">використання </w:t>
      </w:r>
      <w:r w:rsidR="005C37AD">
        <w:rPr>
          <w:rFonts w:ascii="Times New Roman" w:hAnsi="Times New Roman"/>
          <w:sz w:val="28"/>
          <w:szCs w:val="28"/>
        </w:rPr>
        <w:t xml:space="preserve">ОСОБА_3 </w:t>
      </w:r>
      <w:r w:rsidR="005C37AD">
        <w:rPr>
          <w:rFonts w:ascii="Times New Roman" w:hAnsi="Times New Roman"/>
          <w:sz w:val="28"/>
          <w:szCs w:val="28"/>
        </w:rPr>
        <w:br/>
      </w:r>
      <w:r w:rsidR="00AE4B8C">
        <w:rPr>
          <w:rFonts w:ascii="Times New Roman" w:hAnsi="Times New Roman"/>
          <w:sz w:val="28"/>
          <w:szCs w:val="28"/>
        </w:rPr>
        <w:t>як свідка відповідає описаним у практиці Європейського суду з прав людини схемам порушення права на справедливий суд.</w:t>
      </w:r>
    </w:p>
    <w:p w14:paraId="7C1913A7" w14:textId="1C72DB26" w:rsidR="0075478F" w:rsidRPr="0075478F"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t xml:space="preserve">У зв’язку з цим прокурор </w:t>
      </w:r>
      <w:r w:rsidR="00AE4B8C">
        <w:rPr>
          <w:rFonts w:ascii="Times New Roman" w:hAnsi="Times New Roman"/>
          <w:sz w:val="28"/>
          <w:szCs w:val="28"/>
        </w:rPr>
        <w:t>(</w:t>
      </w:r>
      <w:r w:rsidR="00930BE7">
        <w:rPr>
          <w:rFonts w:ascii="Times New Roman" w:hAnsi="Times New Roman"/>
          <w:sz w:val="28"/>
          <w:szCs w:val="28"/>
        </w:rPr>
        <w:t xml:space="preserve">або </w:t>
      </w:r>
      <w:r w:rsidR="00AE4B8C">
        <w:rPr>
          <w:rFonts w:ascii="Times New Roman" w:hAnsi="Times New Roman"/>
          <w:sz w:val="28"/>
          <w:szCs w:val="28"/>
        </w:rPr>
        <w:t>прокурори) Криворізької північної окружної прокуратури Дніпропетровської області</w:t>
      </w:r>
      <w:r w:rsidRPr="0075478F">
        <w:rPr>
          <w:rFonts w:ascii="Times New Roman" w:hAnsi="Times New Roman"/>
          <w:sz w:val="28"/>
          <w:szCs w:val="28"/>
        </w:rPr>
        <w:t xml:space="preserve"> підлягає притягненню до дисциплінарної відповідальності на підставі пунктів 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w:t>
      </w:r>
      <w:r>
        <w:rPr>
          <w:rFonts w:ascii="Times New Roman" w:hAnsi="Times New Roman"/>
          <w:sz w:val="28"/>
          <w:szCs w:val="28"/>
        </w:rPr>
        <w:br/>
      </w:r>
      <w:r w:rsidRPr="0075478F">
        <w:rPr>
          <w:rFonts w:ascii="Times New Roman" w:hAnsi="Times New Roman"/>
          <w:sz w:val="28"/>
          <w:szCs w:val="28"/>
        </w:rPr>
        <w:t>від 14 жовтня 2014 року № 1697-VII (далі – Закон № 1697-VII).</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40534DC9" w14:textId="72F546D8" w:rsidR="007B1442" w:rsidRDefault="00930BE7"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930BE7">
        <w:rPr>
          <w:rFonts w:ascii="Times New Roman" w:hAnsi="Times New Roman"/>
          <w:sz w:val="28"/>
          <w:szCs w:val="28"/>
        </w:rPr>
        <w:t xml:space="preserve">До дисциплінарної скарги долучено копію довіреності </w:t>
      </w:r>
      <w:r w:rsidR="005C37AD">
        <w:rPr>
          <w:rFonts w:ascii="Times New Roman" w:hAnsi="Times New Roman"/>
          <w:sz w:val="28"/>
          <w:szCs w:val="28"/>
        </w:rPr>
        <w:t xml:space="preserve">ОСОБА_2 </w:t>
      </w:r>
      <w:r w:rsidRPr="00930BE7">
        <w:rPr>
          <w:rFonts w:ascii="Times New Roman" w:hAnsi="Times New Roman"/>
          <w:sz w:val="28"/>
          <w:szCs w:val="28"/>
        </w:rPr>
        <w:t xml:space="preserve">від </w:t>
      </w:r>
      <w:r w:rsidR="005C37AD">
        <w:rPr>
          <w:rFonts w:ascii="Times New Roman" w:hAnsi="Times New Roman"/>
          <w:sz w:val="28"/>
          <w:szCs w:val="28"/>
        </w:rPr>
        <w:br/>
      </w:r>
      <w:r w:rsidRPr="00930BE7">
        <w:rPr>
          <w:rFonts w:ascii="Times New Roman" w:hAnsi="Times New Roman"/>
          <w:sz w:val="28"/>
          <w:szCs w:val="28"/>
        </w:rPr>
        <w:t>30 квітня 2024 року №</w:t>
      </w:r>
      <w:r>
        <w:rPr>
          <w:rFonts w:ascii="Times New Roman" w:hAnsi="Times New Roman"/>
          <w:sz w:val="28"/>
          <w:szCs w:val="28"/>
        </w:rPr>
        <w:t> </w:t>
      </w:r>
      <w:r w:rsidRPr="00930BE7">
        <w:rPr>
          <w:rFonts w:ascii="Times New Roman" w:hAnsi="Times New Roman"/>
          <w:sz w:val="28"/>
          <w:szCs w:val="28"/>
        </w:rPr>
        <w:t xml:space="preserve">619, якою уповноважено </w:t>
      </w:r>
      <w:r w:rsidR="005C37AD">
        <w:rPr>
          <w:rFonts w:ascii="Times New Roman" w:hAnsi="Times New Roman"/>
          <w:sz w:val="28"/>
          <w:szCs w:val="28"/>
        </w:rPr>
        <w:t xml:space="preserve">ОСОБА_1 </w:t>
      </w:r>
      <w:r w:rsidRPr="00930BE7">
        <w:rPr>
          <w:rFonts w:ascii="Times New Roman" w:hAnsi="Times New Roman"/>
          <w:sz w:val="28"/>
          <w:szCs w:val="28"/>
        </w:rPr>
        <w:t>бути його представником та представляти його інтереси.</w:t>
      </w:r>
    </w:p>
    <w:p w14:paraId="288A9797" w14:textId="77777777" w:rsidR="00930BE7" w:rsidRPr="00F92795" w:rsidRDefault="00930BE7"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247D8C4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0BE8DC6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C37AD">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7AC30FF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C37AD">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167DF5D9"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5C37AD">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F1E3253" w14:textId="77777777" w:rsidR="00EB1D48" w:rsidRDefault="00EB1D48" w:rsidP="00AC043F">
      <w:pPr>
        <w:pStyle w:val="rvps2"/>
        <w:shd w:val="clear" w:color="auto" w:fill="FFFFFF"/>
        <w:spacing w:before="0" w:beforeAutospacing="0" w:after="0" w:afterAutospacing="0"/>
        <w:ind w:firstLine="567"/>
        <w:jc w:val="both"/>
        <w:rPr>
          <w:b/>
          <w:sz w:val="28"/>
          <w:szCs w:val="28"/>
          <w:lang w:val="uk-UA"/>
        </w:rPr>
      </w:pPr>
    </w:p>
    <w:p w14:paraId="383C1447" w14:textId="10E93EE3"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2EB4B0F7" w14:textId="77777777" w:rsidR="00C235A7"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C235A7">
        <w:rPr>
          <w:rFonts w:ascii="Times New Roman" w:hAnsi="Times New Roman"/>
          <w:sz w:val="28"/>
          <w:szCs w:val="28"/>
        </w:rPr>
        <w:t xml:space="preserve">(або прокурорів) </w:t>
      </w:r>
      <w:r w:rsidR="00F42E96">
        <w:rPr>
          <w:rFonts w:ascii="Times New Roman" w:hAnsi="Times New Roman"/>
          <w:sz w:val="28"/>
          <w:szCs w:val="28"/>
        </w:rPr>
        <w:t>в</w:t>
      </w:r>
      <w:r w:rsidRPr="004F54F1">
        <w:rPr>
          <w:rFonts w:ascii="Times New Roman" w:hAnsi="Times New Roman"/>
          <w:sz w:val="28"/>
          <w:szCs w:val="28"/>
        </w:rPr>
        <w:t xml:space="preserve"> межах кримінального процесу. </w:t>
      </w:r>
    </w:p>
    <w:p w14:paraId="5F5C44B7" w14:textId="3F54AE6F" w:rsidR="004F54F1" w:rsidRPr="004F54F1"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t>У зв’язку з цим слід зазначити таке.</w:t>
      </w:r>
    </w:p>
    <w:p w14:paraId="783F76E8" w14:textId="648DA00C"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lastRenderedPageBreak/>
        <w:t>Згідно 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 xml:space="preserve">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75FBFCF9" w14:textId="7052F1AC" w:rsidR="00F42E96" w:rsidRPr="00F42E96" w:rsidRDefault="00F42E96" w:rsidP="00F42E96">
      <w:pPr>
        <w:pStyle w:val="a3"/>
        <w:tabs>
          <w:tab w:val="left" w:pos="567"/>
        </w:tabs>
        <w:ind w:firstLine="567"/>
        <w:jc w:val="both"/>
        <w:rPr>
          <w:rFonts w:ascii="Times New Roman" w:hAnsi="Times New Roman"/>
          <w:sz w:val="28"/>
          <w:szCs w:val="28"/>
        </w:rPr>
      </w:pPr>
      <w:r w:rsidRPr="00F42E96">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CA7E7B">
        <w:rPr>
          <w:rFonts w:ascii="Times New Roman" w:hAnsi="Times New Roman"/>
          <w:sz w:val="28"/>
          <w:szCs w:val="28"/>
        </w:rPr>
        <w:t xml:space="preserve"> (або прокурорів)</w:t>
      </w:r>
      <w:r w:rsidRPr="00F42E96">
        <w:rPr>
          <w:rFonts w:ascii="Times New Roman" w:hAnsi="Times New Roman"/>
          <w:sz w:val="28"/>
          <w:szCs w:val="28"/>
        </w:rPr>
        <w:t>. Для вирішення по суті членом Комісії питання про відкриття дисциплінарного провадження від скаржника мають бути одержані відомості, які дозволяли б зробити попередній висновок про ймовірність наявності зазначених вище ознак дисциплінарного проступку в рішеннях, діях чи бездіяльності конкретного прокурора.</w:t>
      </w:r>
    </w:p>
    <w:p w14:paraId="5F24D35E" w14:textId="77777777" w:rsidR="00F42E96" w:rsidRPr="00F42E96" w:rsidRDefault="00F42E96" w:rsidP="00F42E96">
      <w:pPr>
        <w:pStyle w:val="a3"/>
        <w:tabs>
          <w:tab w:val="left" w:pos="567"/>
        </w:tabs>
        <w:ind w:firstLine="567"/>
        <w:jc w:val="both"/>
        <w:rPr>
          <w:rFonts w:ascii="Times New Roman" w:hAnsi="Times New Roman"/>
          <w:sz w:val="28"/>
          <w:szCs w:val="28"/>
        </w:rPr>
      </w:pPr>
      <w:r w:rsidRPr="00F42E96">
        <w:rPr>
          <w:rFonts w:ascii="Times New Roman" w:hAnsi="Times New Roman"/>
          <w:sz w:val="28"/>
          <w:szCs w:val="28"/>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член Комісії змушений був би розпочинати дисциплінарне провадження за будь-яким зверненням, у якому міститься твердження про вчинення прокурором дисциплінарного проступку, без наведення жодних фактів, які на це вказують.</w:t>
      </w:r>
    </w:p>
    <w:p w14:paraId="3AD2E9E4" w14:textId="77777777" w:rsidR="00F42E96" w:rsidRPr="00F42E96" w:rsidRDefault="00F42E96" w:rsidP="00F42E96">
      <w:pPr>
        <w:pStyle w:val="a3"/>
        <w:ind w:firstLine="567"/>
        <w:jc w:val="both"/>
        <w:rPr>
          <w:rFonts w:ascii="Times New Roman" w:hAnsi="Times New Roman"/>
          <w:sz w:val="28"/>
          <w:szCs w:val="28"/>
        </w:rPr>
      </w:pPr>
      <w:r w:rsidRPr="00F42E96">
        <w:rPr>
          <w:rFonts w:ascii="Times New Roman" w:hAnsi="Times New Roman"/>
          <w:sz w:val="28"/>
          <w:szCs w:val="28"/>
        </w:rPr>
        <w:t>Зі змісту скарги вбачається, що скаржник не повідомив конкретних відомостей, за якими можна попередньо перевірити його твердження про наявність ознак дисциплінарного проступку, передбаченого статтею 43 Закону № 1697-VII, у службовій чи позаслужбовій поведінці прокурора.</w:t>
      </w:r>
    </w:p>
    <w:p w14:paraId="4863A1B9" w14:textId="64F5C8FF" w:rsidR="00F42E96" w:rsidRPr="00F42E96" w:rsidRDefault="00F42E96" w:rsidP="00F42E96">
      <w:pPr>
        <w:pStyle w:val="a3"/>
        <w:ind w:firstLine="567"/>
        <w:jc w:val="both"/>
        <w:rPr>
          <w:rFonts w:ascii="Times New Roman" w:hAnsi="Times New Roman"/>
          <w:sz w:val="28"/>
          <w:szCs w:val="28"/>
        </w:rPr>
      </w:pPr>
      <w:r w:rsidRPr="00F42E96">
        <w:rPr>
          <w:rFonts w:ascii="Times New Roman" w:hAnsi="Times New Roman"/>
          <w:sz w:val="28"/>
          <w:szCs w:val="28"/>
        </w:rPr>
        <w:t xml:space="preserve">Так, у скарзі не міститься відомостей, які могли б свідчити, зокрема, </w:t>
      </w:r>
      <w:r w:rsidR="00C235A7">
        <w:rPr>
          <w:rFonts w:ascii="Times New Roman" w:hAnsi="Times New Roman"/>
          <w:sz w:val="28"/>
          <w:szCs w:val="28"/>
        </w:rPr>
        <w:br/>
      </w:r>
      <w:r w:rsidRPr="00F42E96">
        <w:rPr>
          <w:rFonts w:ascii="Times New Roman" w:hAnsi="Times New Roman"/>
          <w:sz w:val="28"/>
          <w:szCs w:val="28"/>
        </w:rPr>
        <w:t>про завідомо неправомірні, неякісні дії чи бездіяльність будь-якого прокурора, вчинені всупереч закону та такі, що потягли настання певних негативних наслідків.</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634F0731" w14:textId="390E45E7" w:rsidR="001052D5" w:rsidRPr="001052D5" w:rsidRDefault="001052D5" w:rsidP="001052D5">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t>Втім, до скарги не долучено жодного процесуального рішення чи іншого документа, які дозволяли б встановити факти порушення прокурором прав осіб чи вимог закону</w:t>
      </w:r>
      <w:r>
        <w:rPr>
          <w:rFonts w:ascii="Times New Roman" w:hAnsi="Times New Roman"/>
          <w:sz w:val="28"/>
          <w:szCs w:val="28"/>
        </w:rPr>
        <w:t xml:space="preserve">, </w:t>
      </w:r>
      <w:r w:rsidRPr="001052D5">
        <w:rPr>
          <w:rFonts w:ascii="Times New Roman" w:hAnsi="Times New Roman"/>
          <w:sz w:val="28"/>
          <w:szCs w:val="28"/>
        </w:rPr>
        <w:t>зокрема, які містять відомості про результати оскарження в передбаченому КПК України порядку дій чи бездіяльності прокурора, про визнання уповноваженим суб’єктом цих дій чи бездіяльності неправомірними.</w:t>
      </w:r>
    </w:p>
    <w:p w14:paraId="69D3C3AE" w14:textId="2E71AA06" w:rsidR="001052D5" w:rsidRPr="001052D5" w:rsidRDefault="001052D5" w:rsidP="001052D5">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lastRenderedPageBreak/>
        <w:t xml:space="preserve">Отже, у скарзі та доданих до неї матеріалах не міститься відомостей, </w:t>
      </w:r>
      <w:r>
        <w:rPr>
          <w:rFonts w:ascii="Times New Roman" w:hAnsi="Times New Roman"/>
          <w:sz w:val="28"/>
          <w:szCs w:val="28"/>
        </w:rPr>
        <w:br/>
      </w:r>
      <w:r w:rsidRPr="001052D5">
        <w:rPr>
          <w:rFonts w:ascii="Times New Roman" w:hAnsi="Times New Roman"/>
          <w:sz w:val="28"/>
          <w:szCs w:val="28"/>
        </w:rPr>
        <w:t>які могли б свідчити, зокрема, про завідомо неправомірні, неякісні дії чи бездіяльність прокурора, вчинені всупереч закону та такі, що потягли настання певних негативних наслідків під час виконання ним службових повноважень.</w:t>
      </w:r>
    </w:p>
    <w:p w14:paraId="6806188D" w14:textId="77777777" w:rsidR="001052D5" w:rsidRDefault="001052D5" w:rsidP="008127DC">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t>За таких обставин неможливо встановити, що окремі рішення, дії чи бездіяльність цього прокурора були предметом оскарження та визнані неправомірними, а також що встановлено факт порушення ним прав осіб або вимог закону. У зв’язку з цим член Комісії позбавлений права надавати оцінку діяльності вказаного прокурора в межах кримінального процесу.</w:t>
      </w:r>
    </w:p>
    <w:p w14:paraId="6C826587" w14:textId="0D5098E4"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17DF011"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76F981D" w14:textId="717F1A7E"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Незгода учасника процесу з рішеннями (діями) прокурор</w:t>
      </w:r>
      <w:r w:rsidR="00F92413">
        <w:rPr>
          <w:rFonts w:ascii="Times New Roman" w:hAnsi="Times New Roman"/>
          <w:sz w:val="28"/>
          <w:szCs w:val="28"/>
        </w:rPr>
        <w:t>а</w:t>
      </w:r>
      <w:r w:rsidRPr="00450029">
        <w:rPr>
          <w:rFonts w:ascii="Times New Roman" w:hAnsi="Times New Roman"/>
          <w:sz w:val="28"/>
          <w:szCs w:val="28"/>
        </w:rPr>
        <w:t xml:space="preserve"> не може автоматично мати наслідком </w:t>
      </w:r>
      <w:r w:rsidR="001052D5">
        <w:rPr>
          <w:rFonts w:ascii="Times New Roman" w:hAnsi="Times New Roman"/>
          <w:sz w:val="28"/>
          <w:szCs w:val="28"/>
        </w:rPr>
        <w:t>його</w:t>
      </w:r>
      <w:r w:rsidRPr="00450029">
        <w:rPr>
          <w:rFonts w:ascii="Times New Roman" w:hAnsi="Times New Roman"/>
          <w:sz w:val="28"/>
          <w:szCs w:val="28"/>
        </w:rPr>
        <w:t xml:space="preserve"> дисциплінарну відповідальність.</w:t>
      </w:r>
    </w:p>
    <w:p w14:paraId="4F2B6581" w14:textId="504CAD16"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Водночас Комісія не є органом, який здійснює нагляд за додержанням законів під час проведення досудового розслідування</w:t>
      </w:r>
      <w:r w:rsidR="004F337A">
        <w:rPr>
          <w:rFonts w:ascii="Times New Roman" w:hAnsi="Times New Roman"/>
          <w:sz w:val="28"/>
          <w:szCs w:val="28"/>
        </w:rPr>
        <w:t>,</w:t>
      </w:r>
      <w:r w:rsidRPr="00450029">
        <w:rPr>
          <w:rFonts w:ascii="Times New Roman" w:hAnsi="Times New Roman"/>
          <w:sz w:val="28"/>
          <w:szCs w:val="28"/>
        </w:rPr>
        <w:t xml:space="preserve">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65C2DC09" w14:textId="18DFE58A" w:rsidR="00135755" w:rsidRDefault="00135755" w:rsidP="001F08AB">
      <w:pPr>
        <w:pBdr>
          <w:bottom w:val="single" w:sz="12" w:space="31" w:color="FFFFFF"/>
        </w:pBdr>
        <w:spacing w:after="0" w:line="240" w:lineRule="auto"/>
        <w:ind w:firstLine="567"/>
        <w:contextualSpacing/>
        <w:jc w:val="both"/>
        <w:rPr>
          <w:rFonts w:ascii="Times New Roman" w:hAnsi="Times New Roman"/>
          <w:sz w:val="28"/>
          <w:szCs w:val="28"/>
        </w:rPr>
      </w:pPr>
      <w:r w:rsidRPr="00135755">
        <w:rPr>
          <w:rFonts w:ascii="Times New Roman" w:hAnsi="Times New Roman"/>
          <w:sz w:val="28"/>
          <w:szCs w:val="28"/>
        </w:rPr>
        <w:t>Зважаючи на викладене, твердження скаржника про невиконання чи неналежне виконання прокурором (</w:t>
      </w:r>
      <w:r>
        <w:rPr>
          <w:rFonts w:ascii="Times New Roman" w:hAnsi="Times New Roman"/>
          <w:sz w:val="28"/>
          <w:szCs w:val="28"/>
        </w:rPr>
        <w:t xml:space="preserve">або </w:t>
      </w:r>
      <w:r w:rsidRPr="00135755">
        <w:rPr>
          <w:rFonts w:ascii="Times New Roman" w:hAnsi="Times New Roman"/>
          <w:sz w:val="28"/>
          <w:szCs w:val="28"/>
        </w:rPr>
        <w:t xml:space="preserve">прокурорами) службових обов’язків </w:t>
      </w:r>
      <w:r>
        <w:rPr>
          <w:rFonts w:ascii="Times New Roman" w:hAnsi="Times New Roman"/>
          <w:sz w:val="28"/>
          <w:szCs w:val="28"/>
        </w:rPr>
        <w:br/>
      </w:r>
      <w:r w:rsidRPr="00135755">
        <w:rPr>
          <w:rFonts w:ascii="Times New Roman" w:hAnsi="Times New Roman"/>
          <w:sz w:val="28"/>
          <w:szCs w:val="28"/>
        </w:rPr>
        <w:t>є суб’єктивним.</w:t>
      </w:r>
    </w:p>
    <w:p w14:paraId="3E3EA212" w14:textId="4BAEB7A6"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 xml:space="preserve">З приводу доводів дисциплінарної скарги про вчинення прокурором </w:t>
      </w:r>
      <w:r w:rsidR="006207E9">
        <w:rPr>
          <w:rFonts w:ascii="Times New Roman" w:hAnsi="Times New Roman"/>
          <w:sz w:val="28"/>
          <w:szCs w:val="28"/>
        </w:rPr>
        <w:t>(або прокурорами)</w:t>
      </w:r>
      <w:r w:rsidRPr="001F08AB">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w:t>
      </w:r>
      <w:r>
        <w:rPr>
          <w:rFonts w:ascii="Times New Roman" w:hAnsi="Times New Roman"/>
          <w:sz w:val="28"/>
          <w:szCs w:val="28"/>
        </w:rPr>
        <w:t>так</w:t>
      </w:r>
      <w:r w:rsidRPr="001F08AB">
        <w:rPr>
          <w:rFonts w:ascii="Times New Roman" w:hAnsi="Times New Roman"/>
          <w:sz w:val="28"/>
          <w:szCs w:val="28"/>
        </w:rPr>
        <w:t>е.</w:t>
      </w:r>
    </w:p>
    <w:p w14:paraId="03DC6748" w14:textId="2DD2DE48"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hAnsi="Times New Roman"/>
          <w:sz w:val="28"/>
          <w:szCs w:val="28"/>
        </w:rPr>
        <w:br/>
      </w:r>
      <w:r w:rsidRPr="001F08AB">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3972E75C" w14:textId="15F0C34B"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lastRenderedPageBreak/>
        <w:t>–</w:t>
      </w:r>
      <w:r>
        <w:rPr>
          <w:rFonts w:ascii="Times New Roman" w:hAnsi="Times New Roman"/>
          <w:sz w:val="28"/>
          <w:szCs w:val="28"/>
        </w:rPr>
        <w:t> </w:t>
      </w:r>
      <w:r w:rsidRPr="001F08AB">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14:paraId="082282BA" w14:textId="792A027A"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w:t>
      </w:r>
      <w:r>
        <w:rPr>
          <w:rFonts w:ascii="Times New Roman" w:hAnsi="Times New Roman"/>
          <w:sz w:val="28"/>
          <w:szCs w:val="28"/>
        </w:rPr>
        <w:t> </w:t>
      </w:r>
      <w:r w:rsidRPr="001F08AB">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2EFDC5EE" w14:textId="3CEBA8B4"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w:t>
      </w:r>
      <w:r>
        <w:rPr>
          <w:rFonts w:ascii="Times New Roman" w:hAnsi="Times New Roman"/>
          <w:sz w:val="28"/>
          <w:szCs w:val="28"/>
        </w:rPr>
        <w:t> </w:t>
      </w:r>
      <w:r w:rsidRPr="001F08AB">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589F0351" w14:textId="0A305522"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w:t>
      </w:r>
      <w:r>
        <w:rPr>
          <w:rFonts w:ascii="Times New Roman" w:hAnsi="Times New Roman"/>
          <w:sz w:val="28"/>
          <w:szCs w:val="28"/>
        </w:rPr>
        <w:t> </w:t>
      </w:r>
      <w:r w:rsidRPr="001F08AB">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5A62D77" w14:textId="6B884E62" w:rsid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Наведені у дисциплінарній скарзі дії</w:t>
      </w:r>
      <w:r>
        <w:rPr>
          <w:rFonts w:ascii="Times New Roman" w:hAnsi="Times New Roman"/>
          <w:sz w:val="28"/>
          <w:szCs w:val="28"/>
        </w:rPr>
        <w:t xml:space="preserve"> (бездіяльність)</w:t>
      </w:r>
      <w:r w:rsidRPr="001F08AB">
        <w:rPr>
          <w:rFonts w:ascii="Times New Roman" w:hAnsi="Times New Roman"/>
          <w:sz w:val="28"/>
          <w:szCs w:val="28"/>
        </w:rPr>
        <w:t xml:space="preserve"> прокурора </w:t>
      </w:r>
      <w:r w:rsidR="006207E9">
        <w:rPr>
          <w:rFonts w:ascii="Times New Roman" w:hAnsi="Times New Roman"/>
          <w:sz w:val="28"/>
          <w:szCs w:val="28"/>
        </w:rPr>
        <w:t xml:space="preserve">(або прокурорів) </w:t>
      </w:r>
      <w:r w:rsidRPr="001F08AB">
        <w:rPr>
          <w:rFonts w:ascii="Times New Roman" w:hAnsi="Times New Roman"/>
          <w:sz w:val="28"/>
          <w:szCs w:val="28"/>
        </w:rPr>
        <w:t>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00DAC616" w14:textId="2ACFF64C" w:rsidR="006207E9" w:rsidRPr="006207E9" w:rsidRDefault="006207E9" w:rsidP="006207E9">
      <w:pPr>
        <w:pBdr>
          <w:bottom w:val="single" w:sz="12" w:space="31" w:color="FFFFFF"/>
        </w:pBdr>
        <w:spacing w:after="0" w:line="240" w:lineRule="auto"/>
        <w:ind w:firstLine="567"/>
        <w:contextualSpacing/>
        <w:jc w:val="both"/>
        <w:rPr>
          <w:rFonts w:ascii="Times New Roman" w:hAnsi="Times New Roman"/>
          <w:sz w:val="28"/>
          <w:szCs w:val="28"/>
        </w:rPr>
      </w:pPr>
      <w:r w:rsidRPr="006207E9">
        <w:rPr>
          <w:rFonts w:ascii="Times New Roman" w:hAnsi="Times New Roman"/>
          <w:sz w:val="28"/>
          <w:szCs w:val="28"/>
        </w:rPr>
        <w:t xml:space="preserve">Окрім цього, мною враховано, що право на звернення до відповідного органу, </w:t>
      </w:r>
      <w:r>
        <w:rPr>
          <w:rFonts w:ascii="Times New Roman" w:hAnsi="Times New Roman"/>
          <w:sz w:val="28"/>
          <w:szCs w:val="28"/>
        </w:rPr>
        <w:t>що</w:t>
      </w:r>
      <w:r w:rsidRPr="006207E9">
        <w:rPr>
          <w:rFonts w:ascii="Times New Roman" w:hAnsi="Times New Roman"/>
          <w:sz w:val="28"/>
          <w:szCs w:val="28"/>
        </w:rPr>
        <w:t xml:space="preserve">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63EDFD80" w14:textId="77777777" w:rsidR="006207E9" w:rsidRPr="006207E9" w:rsidRDefault="006207E9" w:rsidP="006207E9">
      <w:pPr>
        <w:pBdr>
          <w:bottom w:val="single" w:sz="12" w:space="31" w:color="FFFFFF"/>
        </w:pBdr>
        <w:spacing w:after="0" w:line="240" w:lineRule="auto"/>
        <w:ind w:firstLine="567"/>
        <w:contextualSpacing/>
        <w:jc w:val="both"/>
        <w:rPr>
          <w:rFonts w:ascii="Times New Roman" w:hAnsi="Times New Roman"/>
          <w:sz w:val="28"/>
          <w:szCs w:val="28"/>
        </w:rPr>
      </w:pPr>
      <w:r w:rsidRPr="006207E9">
        <w:rPr>
          <w:rFonts w:ascii="Times New Roman" w:hAnsi="Times New Roman"/>
          <w:sz w:val="28"/>
          <w:szCs w:val="28"/>
        </w:rPr>
        <w:t>Зазначений зв’язок передбачає заповнення відомостей стосовно прокурора, зокрема його прізвища, імені та по батькові, а також посади прокурора (або прокурорів), який, на думку скаржника, вчинив дисциплінарний проступок.</w:t>
      </w:r>
    </w:p>
    <w:p w14:paraId="3C230A97" w14:textId="77777777" w:rsidR="006207E9" w:rsidRPr="006207E9" w:rsidRDefault="006207E9" w:rsidP="006207E9">
      <w:pPr>
        <w:pBdr>
          <w:bottom w:val="single" w:sz="12" w:space="31" w:color="FFFFFF"/>
        </w:pBdr>
        <w:spacing w:after="0" w:line="240" w:lineRule="auto"/>
        <w:ind w:firstLine="567"/>
        <w:contextualSpacing/>
        <w:jc w:val="both"/>
        <w:rPr>
          <w:rFonts w:ascii="Times New Roman" w:hAnsi="Times New Roman"/>
          <w:sz w:val="28"/>
          <w:szCs w:val="28"/>
        </w:rPr>
      </w:pPr>
      <w:r w:rsidRPr="006207E9">
        <w:rPr>
          <w:rFonts w:ascii="Times New Roman" w:hAnsi="Times New Roman"/>
          <w:sz w:val="28"/>
          <w:szCs w:val="28"/>
        </w:rPr>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275A2829" w14:textId="77777777" w:rsidR="006207E9" w:rsidRPr="006207E9" w:rsidRDefault="006207E9" w:rsidP="006207E9">
      <w:pPr>
        <w:pBdr>
          <w:bottom w:val="single" w:sz="12" w:space="31" w:color="FFFFFF"/>
        </w:pBdr>
        <w:spacing w:after="0" w:line="240" w:lineRule="auto"/>
        <w:ind w:firstLine="567"/>
        <w:contextualSpacing/>
        <w:jc w:val="both"/>
        <w:rPr>
          <w:rFonts w:ascii="Times New Roman" w:hAnsi="Times New Roman"/>
          <w:sz w:val="28"/>
          <w:szCs w:val="28"/>
        </w:rPr>
      </w:pPr>
      <w:r w:rsidRPr="006207E9">
        <w:rPr>
          <w:rFonts w:ascii="Times New Roman" w:hAnsi="Times New Roman"/>
          <w:sz w:val="28"/>
          <w:szCs w:val="28"/>
        </w:rPr>
        <w:t>Натомість дисциплінарна скарга не містить відомостей про конкретну посадову особу (прокурора), який, на думку скаржника, допустив порушення прав осіб або вимог закону.</w:t>
      </w:r>
    </w:p>
    <w:p w14:paraId="5DE2B5EA" w14:textId="07FEAF36" w:rsidR="00E16645" w:rsidRPr="00E16645" w:rsidRDefault="00E16645" w:rsidP="00E16645">
      <w:pPr>
        <w:pBdr>
          <w:bottom w:val="single" w:sz="12" w:space="31" w:color="FFFFFF"/>
        </w:pBdr>
        <w:spacing w:after="0" w:line="240" w:lineRule="auto"/>
        <w:ind w:firstLine="567"/>
        <w:contextualSpacing/>
        <w:jc w:val="both"/>
        <w:rPr>
          <w:rFonts w:ascii="Times New Roman" w:hAnsi="Times New Roman"/>
          <w:sz w:val="28"/>
          <w:szCs w:val="28"/>
        </w:rPr>
      </w:pPr>
      <w:r w:rsidRPr="00E16645">
        <w:rPr>
          <w:rFonts w:ascii="Times New Roman" w:hAnsi="Times New Roman"/>
          <w:sz w:val="28"/>
          <w:szCs w:val="28"/>
        </w:rPr>
        <w:t xml:space="preserve">Також член Комісії звертає увагу скаржника на те, що Комісія або її член </w:t>
      </w:r>
      <w:r w:rsidRPr="00E16645">
        <w:rPr>
          <w:rFonts w:ascii="Times New Roman" w:hAnsi="Times New Roman"/>
          <w:sz w:val="28"/>
          <w:szCs w:val="28"/>
        </w:rPr>
        <w:br/>
        <w:t>не наділені повноваженнями щодо встановлення факту вчинення кримінальних правопорушень, їх реєстрації в Єдиному реєстрі досудових розслідувань, проведення досудового розслідування чи надання висновків щодо компетенції прокурора в конкретному кримінальному провадженні, а також встановлення незаконності його рішень, дій чи бездіяльності.</w:t>
      </w:r>
    </w:p>
    <w:p w14:paraId="5D69C7F2" w14:textId="77777777" w:rsidR="00E16645" w:rsidRPr="00E16645" w:rsidRDefault="00E16645" w:rsidP="00E16645">
      <w:pPr>
        <w:pBdr>
          <w:bottom w:val="single" w:sz="12" w:space="31" w:color="FFFFFF"/>
        </w:pBdr>
        <w:spacing w:after="0" w:line="240" w:lineRule="auto"/>
        <w:ind w:firstLine="567"/>
        <w:contextualSpacing/>
        <w:jc w:val="both"/>
        <w:rPr>
          <w:rFonts w:ascii="Times New Roman" w:hAnsi="Times New Roman"/>
          <w:sz w:val="28"/>
          <w:szCs w:val="28"/>
        </w:rPr>
      </w:pPr>
      <w:r w:rsidRPr="00E16645">
        <w:rPr>
          <w:rFonts w:ascii="Times New Roman" w:hAnsi="Times New Roman"/>
          <w:sz w:val="28"/>
          <w:szCs w:val="28"/>
        </w:rPr>
        <w:t>Вихід за межі повноважень та їх реалізація у спосіб, не визначений Конституцією та законами України, можуть розцінюватися як втручання у процесуальну діяльність прокурора. Тому перевірка тверджень скаржника про те, що прокурором (або прокурорами) вчинено злочини, передбачені статтями 364, 384 КК України, не належить до повноважень Комісії, а потребує здійснення в межах кримінального провадження.</w:t>
      </w:r>
    </w:p>
    <w:p w14:paraId="3E286502" w14:textId="77777777" w:rsidR="00E16645" w:rsidRPr="00E16645" w:rsidRDefault="00E16645" w:rsidP="00E16645">
      <w:pPr>
        <w:pBdr>
          <w:bottom w:val="single" w:sz="12" w:space="31" w:color="FFFFFF"/>
        </w:pBdr>
        <w:spacing w:after="0" w:line="240" w:lineRule="auto"/>
        <w:ind w:firstLine="567"/>
        <w:contextualSpacing/>
        <w:jc w:val="both"/>
        <w:rPr>
          <w:rFonts w:ascii="Times New Roman" w:hAnsi="Times New Roman"/>
          <w:sz w:val="28"/>
          <w:szCs w:val="28"/>
        </w:rPr>
      </w:pPr>
      <w:r w:rsidRPr="00E16645">
        <w:rPr>
          <w:rFonts w:ascii="Times New Roman" w:hAnsi="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наведених ним подій.</w:t>
      </w:r>
    </w:p>
    <w:p w14:paraId="78C713B5" w14:textId="77777777" w:rsidR="004F337A" w:rsidRDefault="00DE49BE"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lastRenderedPageBreak/>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28C99D91" w14:textId="548D99E8" w:rsidR="004F337A" w:rsidRDefault="00EF2244"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2224B03A" w14:textId="77777777" w:rsidR="001F08AB" w:rsidRPr="001F08AB" w:rsidRDefault="001F08AB" w:rsidP="004F337A">
      <w:pPr>
        <w:pBdr>
          <w:bottom w:val="single" w:sz="12" w:space="31" w:color="FFFFFF"/>
        </w:pBdr>
        <w:spacing w:after="0" w:line="240" w:lineRule="auto"/>
        <w:ind w:firstLine="567"/>
        <w:contextualSpacing/>
        <w:jc w:val="both"/>
        <w:rPr>
          <w:rFonts w:ascii="Times New Roman" w:hAnsi="Times New Roman"/>
          <w:sz w:val="20"/>
          <w:szCs w:val="20"/>
        </w:rPr>
      </w:pPr>
    </w:p>
    <w:p w14:paraId="7331CACD" w14:textId="77777777" w:rsidR="004F337A" w:rsidRDefault="00DE49BE" w:rsidP="004F337A">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5E509619" w14:textId="77777777" w:rsidR="004F337A" w:rsidRDefault="004F337A" w:rsidP="004F337A">
      <w:pPr>
        <w:pBdr>
          <w:bottom w:val="single" w:sz="12" w:space="31" w:color="FFFFFF"/>
        </w:pBdr>
        <w:spacing w:after="0" w:line="240" w:lineRule="auto"/>
        <w:contextualSpacing/>
        <w:jc w:val="center"/>
        <w:rPr>
          <w:rFonts w:ascii="Times New Roman" w:hAnsi="Times New Roman"/>
          <w:b/>
          <w:sz w:val="28"/>
          <w:szCs w:val="28"/>
        </w:rPr>
      </w:pPr>
    </w:p>
    <w:p w14:paraId="1D2E3D67" w14:textId="7D9447DC" w:rsidR="004F337A" w:rsidRDefault="00A1314F"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E16645">
        <w:rPr>
          <w:rFonts w:ascii="Times New Roman" w:hAnsi="Times New Roman"/>
          <w:sz w:val="28"/>
          <w:szCs w:val="28"/>
        </w:rPr>
        <w:t xml:space="preserve">за скаргою </w:t>
      </w:r>
      <w:r w:rsidR="005C37AD">
        <w:rPr>
          <w:rFonts w:ascii="Times New Roman" w:hAnsi="Times New Roman"/>
          <w:sz w:val="28"/>
          <w:szCs w:val="28"/>
        </w:rPr>
        <w:t>ОСОБА_1</w:t>
      </w:r>
      <w:r w:rsidR="00335B89" w:rsidRPr="00F92795">
        <w:rPr>
          <w:rFonts w:ascii="Times New Roman" w:hAnsi="Times New Roman"/>
          <w:sz w:val="28"/>
          <w:szCs w:val="28"/>
        </w:rPr>
        <w:t>.</w:t>
      </w:r>
    </w:p>
    <w:p w14:paraId="3B5AF0DB" w14:textId="68299321" w:rsidR="00685771" w:rsidRPr="00684E93" w:rsidRDefault="00020FC0" w:rsidP="004F337A">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36A2" w14:textId="77777777" w:rsidR="00314F2C" w:rsidRDefault="00314F2C" w:rsidP="00E32F4B">
      <w:pPr>
        <w:spacing w:after="0" w:line="240" w:lineRule="auto"/>
      </w:pPr>
      <w:r>
        <w:separator/>
      </w:r>
    </w:p>
  </w:endnote>
  <w:endnote w:type="continuationSeparator" w:id="0">
    <w:p w14:paraId="39BCD637" w14:textId="77777777" w:rsidR="00314F2C" w:rsidRDefault="00314F2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FBDC" w14:textId="77777777" w:rsidR="00314F2C" w:rsidRDefault="00314F2C" w:rsidP="00E32F4B">
      <w:pPr>
        <w:spacing w:after="0" w:line="240" w:lineRule="auto"/>
      </w:pPr>
      <w:r>
        <w:separator/>
      </w:r>
    </w:p>
  </w:footnote>
  <w:footnote w:type="continuationSeparator" w:id="0">
    <w:p w14:paraId="150EC813" w14:textId="77777777" w:rsidR="00314F2C" w:rsidRDefault="00314F2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35AB"/>
    <w:rsid w:val="00005F79"/>
    <w:rsid w:val="0001485B"/>
    <w:rsid w:val="00020C9C"/>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1E56"/>
    <w:rsid w:val="000623D1"/>
    <w:rsid w:val="00062897"/>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E5C4E"/>
    <w:rsid w:val="000F044F"/>
    <w:rsid w:val="000F4963"/>
    <w:rsid w:val="00101859"/>
    <w:rsid w:val="001033F0"/>
    <w:rsid w:val="001052D5"/>
    <w:rsid w:val="00110E7D"/>
    <w:rsid w:val="0011213E"/>
    <w:rsid w:val="00112FFA"/>
    <w:rsid w:val="0011363B"/>
    <w:rsid w:val="00117B67"/>
    <w:rsid w:val="0012038C"/>
    <w:rsid w:val="001210A5"/>
    <w:rsid w:val="001220DF"/>
    <w:rsid w:val="001320DF"/>
    <w:rsid w:val="001351FA"/>
    <w:rsid w:val="00135755"/>
    <w:rsid w:val="00141E41"/>
    <w:rsid w:val="00143328"/>
    <w:rsid w:val="0014480F"/>
    <w:rsid w:val="00146EBB"/>
    <w:rsid w:val="00147DE5"/>
    <w:rsid w:val="00152B89"/>
    <w:rsid w:val="001629E0"/>
    <w:rsid w:val="001642BB"/>
    <w:rsid w:val="0016464A"/>
    <w:rsid w:val="001675C2"/>
    <w:rsid w:val="00167E72"/>
    <w:rsid w:val="0017014F"/>
    <w:rsid w:val="001706F8"/>
    <w:rsid w:val="00172F58"/>
    <w:rsid w:val="00175CDD"/>
    <w:rsid w:val="00187458"/>
    <w:rsid w:val="00193CC7"/>
    <w:rsid w:val="001A20C0"/>
    <w:rsid w:val="001A22DA"/>
    <w:rsid w:val="001A41AC"/>
    <w:rsid w:val="001A6986"/>
    <w:rsid w:val="001A6BA6"/>
    <w:rsid w:val="001B28DE"/>
    <w:rsid w:val="001B302E"/>
    <w:rsid w:val="001C41D0"/>
    <w:rsid w:val="001C4229"/>
    <w:rsid w:val="001D1A77"/>
    <w:rsid w:val="001D6475"/>
    <w:rsid w:val="001D773C"/>
    <w:rsid w:val="001E33FB"/>
    <w:rsid w:val="001E3DCC"/>
    <w:rsid w:val="001E629C"/>
    <w:rsid w:val="001F04AC"/>
    <w:rsid w:val="001F08AB"/>
    <w:rsid w:val="0020022D"/>
    <w:rsid w:val="00203759"/>
    <w:rsid w:val="00207F6F"/>
    <w:rsid w:val="0021617C"/>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0B8D"/>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14F2C"/>
    <w:rsid w:val="0032608B"/>
    <w:rsid w:val="00327B36"/>
    <w:rsid w:val="0033421C"/>
    <w:rsid w:val="00335B89"/>
    <w:rsid w:val="003361DB"/>
    <w:rsid w:val="00341B9C"/>
    <w:rsid w:val="00341FE8"/>
    <w:rsid w:val="00344956"/>
    <w:rsid w:val="003465EE"/>
    <w:rsid w:val="003508B9"/>
    <w:rsid w:val="0035166E"/>
    <w:rsid w:val="00353368"/>
    <w:rsid w:val="00354CDC"/>
    <w:rsid w:val="00355D58"/>
    <w:rsid w:val="0036254D"/>
    <w:rsid w:val="00376603"/>
    <w:rsid w:val="0037674A"/>
    <w:rsid w:val="00377796"/>
    <w:rsid w:val="003824A7"/>
    <w:rsid w:val="00396316"/>
    <w:rsid w:val="003A0E8D"/>
    <w:rsid w:val="003A5ECC"/>
    <w:rsid w:val="003B6D87"/>
    <w:rsid w:val="003C2BDC"/>
    <w:rsid w:val="003C4D52"/>
    <w:rsid w:val="003C6CB2"/>
    <w:rsid w:val="003D1FDD"/>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EEC"/>
    <w:rsid w:val="00421AF0"/>
    <w:rsid w:val="00423745"/>
    <w:rsid w:val="00424D48"/>
    <w:rsid w:val="00431EA2"/>
    <w:rsid w:val="0043562E"/>
    <w:rsid w:val="0043568C"/>
    <w:rsid w:val="00436359"/>
    <w:rsid w:val="004434EE"/>
    <w:rsid w:val="00443DDF"/>
    <w:rsid w:val="00443ECE"/>
    <w:rsid w:val="00443F4B"/>
    <w:rsid w:val="00444ACF"/>
    <w:rsid w:val="0044538F"/>
    <w:rsid w:val="00446608"/>
    <w:rsid w:val="00447982"/>
    <w:rsid w:val="00451D2C"/>
    <w:rsid w:val="00456458"/>
    <w:rsid w:val="00456D29"/>
    <w:rsid w:val="00456F1E"/>
    <w:rsid w:val="004630DF"/>
    <w:rsid w:val="00466E45"/>
    <w:rsid w:val="00471054"/>
    <w:rsid w:val="00471F33"/>
    <w:rsid w:val="0047486A"/>
    <w:rsid w:val="00475B93"/>
    <w:rsid w:val="00482A79"/>
    <w:rsid w:val="00486EF0"/>
    <w:rsid w:val="0049259B"/>
    <w:rsid w:val="00493490"/>
    <w:rsid w:val="0049578C"/>
    <w:rsid w:val="0049601A"/>
    <w:rsid w:val="004A0112"/>
    <w:rsid w:val="004A4F4C"/>
    <w:rsid w:val="004B5099"/>
    <w:rsid w:val="004C1319"/>
    <w:rsid w:val="004C73E4"/>
    <w:rsid w:val="004D3A71"/>
    <w:rsid w:val="004E06E7"/>
    <w:rsid w:val="004E105A"/>
    <w:rsid w:val="004E3137"/>
    <w:rsid w:val="004E7A7C"/>
    <w:rsid w:val="004F2EA0"/>
    <w:rsid w:val="004F31DC"/>
    <w:rsid w:val="004F337A"/>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6BF9"/>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87BD6"/>
    <w:rsid w:val="005929A4"/>
    <w:rsid w:val="0059672D"/>
    <w:rsid w:val="00597003"/>
    <w:rsid w:val="005A172B"/>
    <w:rsid w:val="005A4449"/>
    <w:rsid w:val="005B3522"/>
    <w:rsid w:val="005C052A"/>
    <w:rsid w:val="005C0E1D"/>
    <w:rsid w:val="005C121F"/>
    <w:rsid w:val="005C29D1"/>
    <w:rsid w:val="005C3193"/>
    <w:rsid w:val="005C37AD"/>
    <w:rsid w:val="005C5C0E"/>
    <w:rsid w:val="005D2D52"/>
    <w:rsid w:val="005D605E"/>
    <w:rsid w:val="005E2E0C"/>
    <w:rsid w:val="005E60A7"/>
    <w:rsid w:val="005F152D"/>
    <w:rsid w:val="005F6453"/>
    <w:rsid w:val="005F7F5D"/>
    <w:rsid w:val="00603104"/>
    <w:rsid w:val="0060636E"/>
    <w:rsid w:val="0061656A"/>
    <w:rsid w:val="006207E9"/>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365"/>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115"/>
    <w:rsid w:val="00701DEC"/>
    <w:rsid w:val="00702202"/>
    <w:rsid w:val="007079E9"/>
    <w:rsid w:val="00707BA4"/>
    <w:rsid w:val="0071584C"/>
    <w:rsid w:val="0072155A"/>
    <w:rsid w:val="00722C55"/>
    <w:rsid w:val="0072598B"/>
    <w:rsid w:val="00725C65"/>
    <w:rsid w:val="0073072C"/>
    <w:rsid w:val="00730846"/>
    <w:rsid w:val="00733C6D"/>
    <w:rsid w:val="00737958"/>
    <w:rsid w:val="007424AB"/>
    <w:rsid w:val="00745DE6"/>
    <w:rsid w:val="007511AA"/>
    <w:rsid w:val="0075478F"/>
    <w:rsid w:val="007547B2"/>
    <w:rsid w:val="007559AD"/>
    <w:rsid w:val="00762E2D"/>
    <w:rsid w:val="00771F52"/>
    <w:rsid w:val="00773BB6"/>
    <w:rsid w:val="0077741D"/>
    <w:rsid w:val="00783610"/>
    <w:rsid w:val="00787A6D"/>
    <w:rsid w:val="0079489D"/>
    <w:rsid w:val="00795317"/>
    <w:rsid w:val="007A33E4"/>
    <w:rsid w:val="007A4BDB"/>
    <w:rsid w:val="007B1442"/>
    <w:rsid w:val="007B223C"/>
    <w:rsid w:val="007B6937"/>
    <w:rsid w:val="007C2784"/>
    <w:rsid w:val="007C60CE"/>
    <w:rsid w:val="007D0A9F"/>
    <w:rsid w:val="007D3E81"/>
    <w:rsid w:val="007E3D94"/>
    <w:rsid w:val="007E57E7"/>
    <w:rsid w:val="007E59A4"/>
    <w:rsid w:val="007E79BC"/>
    <w:rsid w:val="007F0C6F"/>
    <w:rsid w:val="007F252E"/>
    <w:rsid w:val="007F2FD2"/>
    <w:rsid w:val="008050D5"/>
    <w:rsid w:val="008058DD"/>
    <w:rsid w:val="00806085"/>
    <w:rsid w:val="00806F3D"/>
    <w:rsid w:val="00811C1F"/>
    <w:rsid w:val="008127DC"/>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344E"/>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05"/>
    <w:rsid w:val="00926B77"/>
    <w:rsid w:val="00926CF0"/>
    <w:rsid w:val="00926EB0"/>
    <w:rsid w:val="00930BE7"/>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B1055"/>
    <w:rsid w:val="009C1DCD"/>
    <w:rsid w:val="009C4C45"/>
    <w:rsid w:val="009C690A"/>
    <w:rsid w:val="009D2BD6"/>
    <w:rsid w:val="009D6AD4"/>
    <w:rsid w:val="009D6FEF"/>
    <w:rsid w:val="009D7092"/>
    <w:rsid w:val="009E3841"/>
    <w:rsid w:val="009E6189"/>
    <w:rsid w:val="009F0B38"/>
    <w:rsid w:val="009F0C2F"/>
    <w:rsid w:val="009F141F"/>
    <w:rsid w:val="009F27D8"/>
    <w:rsid w:val="009F4421"/>
    <w:rsid w:val="009F4CAE"/>
    <w:rsid w:val="009F776B"/>
    <w:rsid w:val="00A04233"/>
    <w:rsid w:val="00A05EA5"/>
    <w:rsid w:val="00A068BC"/>
    <w:rsid w:val="00A10110"/>
    <w:rsid w:val="00A1233A"/>
    <w:rsid w:val="00A1314F"/>
    <w:rsid w:val="00A200C5"/>
    <w:rsid w:val="00A26AB7"/>
    <w:rsid w:val="00A27DAD"/>
    <w:rsid w:val="00A301E3"/>
    <w:rsid w:val="00A320D7"/>
    <w:rsid w:val="00A4065C"/>
    <w:rsid w:val="00A41C21"/>
    <w:rsid w:val="00A4214A"/>
    <w:rsid w:val="00A467DE"/>
    <w:rsid w:val="00A507BC"/>
    <w:rsid w:val="00A513CF"/>
    <w:rsid w:val="00A57ED1"/>
    <w:rsid w:val="00A62B5E"/>
    <w:rsid w:val="00A6401C"/>
    <w:rsid w:val="00A64974"/>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4B8C"/>
    <w:rsid w:val="00AE58C2"/>
    <w:rsid w:val="00AE7706"/>
    <w:rsid w:val="00AE7911"/>
    <w:rsid w:val="00AF43DF"/>
    <w:rsid w:val="00B0551C"/>
    <w:rsid w:val="00B07215"/>
    <w:rsid w:val="00B17552"/>
    <w:rsid w:val="00B20CE4"/>
    <w:rsid w:val="00B2240C"/>
    <w:rsid w:val="00B32216"/>
    <w:rsid w:val="00B3290E"/>
    <w:rsid w:val="00B405B2"/>
    <w:rsid w:val="00B40A1B"/>
    <w:rsid w:val="00B41806"/>
    <w:rsid w:val="00B42506"/>
    <w:rsid w:val="00B42BCD"/>
    <w:rsid w:val="00B45F86"/>
    <w:rsid w:val="00B46C09"/>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7C15"/>
    <w:rsid w:val="00BC2198"/>
    <w:rsid w:val="00BC4266"/>
    <w:rsid w:val="00BC7B28"/>
    <w:rsid w:val="00BD24CB"/>
    <w:rsid w:val="00BD2605"/>
    <w:rsid w:val="00BD5AB5"/>
    <w:rsid w:val="00BD636A"/>
    <w:rsid w:val="00BF2D75"/>
    <w:rsid w:val="00BF2F81"/>
    <w:rsid w:val="00BF39C5"/>
    <w:rsid w:val="00BF3B15"/>
    <w:rsid w:val="00BF691C"/>
    <w:rsid w:val="00C02F8D"/>
    <w:rsid w:val="00C1107C"/>
    <w:rsid w:val="00C11811"/>
    <w:rsid w:val="00C12A62"/>
    <w:rsid w:val="00C17904"/>
    <w:rsid w:val="00C2031F"/>
    <w:rsid w:val="00C235A7"/>
    <w:rsid w:val="00C26637"/>
    <w:rsid w:val="00C3327E"/>
    <w:rsid w:val="00C3485A"/>
    <w:rsid w:val="00C34E5D"/>
    <w:rsid w:val="00C44184"/>
    <w:rsid w:val="00C51FF0"/>
    <w:rsid w:val="00C5469D"/>
    <w:rsid w:val="00C54824"/>
    <w:rsid w:val="00C61D17"/>
    <w:rsid w:val="00C6427F"/>
    <w:rsid w:val="00C673B0"/>
    <w:rsid w:val="00C67D5A"/>
    <w:rsid w:val="00C700E8"/>
    <w:rsid w:val="00C72165"/>
    <w:rsid w:val="00C7471F"/>
    <w:rsid w:val="00C7700B"/>
    <w:rsid w:val="00C80D57"/>
    <w:rsid w:val="00C8526C"/>
    <w:rsid w:val="00C86BC1"/>
    <w:rsid w:val="00C91FCC"/>
    <w:rsid w:val="00C944D8"/>
    <w:rsid w:val="00CA6E4C"/>
    <w:rsid w:val="00CA7E7B"/>
    <w:rsid w:val="00CB2CE6"/>
    <w:rsid w:val="00CB4C84"/>
    <w:rsid w:val="00CB6CB9"/>
    <w:rsid w:val="00CC2EAF"/>
    <w:rsid w:val="00CD6F8B"/>
    <w:rsid w:val="00CF0C95"/>
    <w:rsid w:val="00CF1D6A"/>
    <w:rsid w:val="00CF4968"/>
    <w:rsid w:val="00CF53A2"/>
    <w:rsid w:val="00CF6224"/>
    <w:rsid w:val="00CF7F81"/>
    <w:rsid w:val="00D04D30"/>
    <w:rsid w:val="00D16031"/>
    <w:rsid w:val="00D1720F"/>
    <w:rsid w:val="00D1782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4F7A"/>
    <w:rsid w:val="00D96A49"/>
    <w:rsid w:val="00DA0B22"/>
    <w:rsid w:val="00DA2A6F"/>
    <w:rsid w:val="00DA485E"/>
    <w:rsid w:val="00DC1416"/>
    <w:rsid w:val="00DC4C02"/>
    <w:rsid w:val="00DC65BD"/>
    <w:rsid w:val="00DC78B0"/>
    <w:rsid w:val="00DD4CA0"/>
    <w:rsid w:val="00DD5C64"/>
    <w:rsid w:val="00DD7851"/>
    <w:rsid w:val="00DE29C6"/>
    <w:rsid w:val="00DE2B66"/>
    <w:rsid w:val="00DE49BE"/>
    <w:rsid w:val="00DF1239"/>
    <w:rsid w:val="00DF25C0"/>
    <w:rsid w:val="00E0222C"/>
    <w:rsid w:val="00E04B66"/>
    <w:rsid w:val="00E07006"/>
    <w:rsid w:val="00E074A9"/>
    <w:rsid w:val="00E11726"/>
    <w:rsid w:val="00E12981"/>
    <w:rsid w:val="00E14577"/>
    <w:rsid w:val="00E16645"/>
    <w:rsid w:val="00E268AF"/>
    <w:rsid w:val="00E32F4B"/>
    <w:rsid w:val="00E353A3"/>
    <w:rsid w:val="00E36DF1"/>
    <w:rsid w:val="00E50AC5"/>
    <w:rsid w:val="00E51C6E"/>
    <w:rsid w:val="00E5394E"/>
    <w:rsid w:val="00E57DC4"/>
    <w:rsid w:val="00E63F31"/>
    <w:rsid w:val="00E66293"/>
    <w:rsid w:val="00E67A2A"/>
    <w:rsid w:val="00E70236"/>
    <w:rsid w:val="00E72732"/>
    <w:rsid w:val="00E72A19"/>
    <w:rsid w:val="00E73DB6"/>
    <w:rsid w:val="00E83138"/>
    <w:rsid w:val="00E87BDD"/>
    <w:rsid w:val="00E90C83"/>
    <w:rsid w:val="00E92CD5"/>
    <w:rsid w:val="00EA01A0"/>
    <w:rsid w:val="00EA28CA"/>
    <w:rsid w:val="00EA436D"/>
    <w:rsid w:val="00EB0082"/>
    <w:rsid w:val="00EB0B3D"/>
    <w:rsid w:val="00EB1D48"/>
    <w:rsid w:val="00EB5DAF"/>
    <w:rsid w:val="00EB67A2"/>
    <w:rsid w:val="00EC4C14"/>
    <w:rsid w:val="00EC5EE2"/>
    <w:rsid w:val="00ED0923"/>
    <w:rsid w:val="00ED26D4"/>
    <w:rsid w:val="00EE1B2F"/>
    <w:rsid w:val="00EE4408"/>
    <w:rsid w:val="00EF2244"/>
    <w:rsid w:val="00F0030D"/>
    <w:rsid w:val="00F012E3"/>
    <w:rsid w:val="00F073FB"/>
    <w:rsid w:val="00F13CE8"/>
    <w:rsid w:val="00F21090"/>
    <w:rsid w:val="00F2370B"/>
    <w:rsid w:val="00F310BA"/>
    <w:rsid w:val="00F31913"/>
    <w:rsid w:val="00F32417"/>
    <w:rsid w:val="00F3607B"/>
    <w:rsid w:val="00F377FA"/>
    <w:rsid w:val="00F42E96"/>
    <w:rsid w:val="00F42FB9"/>
    <w:rsid w:val="00F46F4F"/>
    <w:rsid w:val="00F47002"/>
    <w:rsid w:val="00F4773F"/>
    <w:rsid w:val="00F54DB6"/>
    <w:rsid w:val="00F55A0F"/>
    <w:rsid w:val="00F61DCF"/>
    <w:rsid w:val="00F6230A"/>
    <w:rsid w:val="00F675EC"/>
    <w:rsid w:val="00F70F58"/>
    <w:rsid w:val="00F7135D"/>
    <w:rsid w:val="00F73CD8"/>
    <w:rsid w:val="00F74417"/>
    <w:rsid w:val="00F83E74"/>
    <w:rsid w:val="00F92413"/>
    <w:rsid w:val="00F92795"/>
    <w:rsid w:val="00F95869"/>
    <w:rsid w:val="00FA019E"/>
    <w:rsid w:val="00FA1E94"/>
    <w:rsid w:val="00FA20EE"/>
    <w:rsid w:val="00FA3309"/>
    <w:rsid w:val="00FB179F"/>
    <w:rsid w:val="00FB3E3C"/>
    <w:rsid w:val="00FB4F9C"/>
    <w:rsid w:val="00FB76CE"/>
    <w:rsid w:val="00FC2072"/>
    <w:rsid w:val="00FD10CC"/>
    <w:rsid w:val="00FD23B7"/>
    <w:rsid w:val="00FF3964"/>
    <w:rsid w:val="00FF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12411</Words>
  <Characters>7075</Characters>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2026-05-11T13:30:00Z</cp:lastPrinted>
  <dcterms:created xsi:type="dcterms:W3CDTF">2026-05-11T13:30:00Z</dcterms:created>
  <dcterms:modified xsi:type="dcterms:W3CDTF">2026-05-18T08:25:00Z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