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67B6" w14:textId="77777777" w:rsidR="00753ED5" w:rsidRPr="00753ED5" w:rsidRDefault="00753ED5" w:rsidP="00753ED5">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753ED5">
        <w:rPr>
          <w:rFonts w:ascii="Times New Roman" w:eastAsia="Times New Roman" w:hAnsi="Times New Roman" w:cs="Times New Roman"/>
          <w:noProof/>
          <w:kern w:val="0"/>
          <w:sz w:val="19"/>
          <w:szCs w:val="20"/>
          <w:lang w:val="ru-RU" w:eastAsia="ru-RU"/>
          <w14:ligatures w14:val="none"/>
        </w:rPr>
        <w:drawing>
          <wp:inline distT="0" distB="0" distL="0" distR="0" wp14:anchorId="08475739" wp14:editId="33E9D34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0E86905" w14:textId="77777777" w:rsidR="00753ED5" w:rsidRPr="00753ED5" w:rsidRDefault="00753ED5" w:rsidP="00753ED5">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6F118542" w14:textId="77777777" w:rsidR="00753ED5" w:rsidRPr="00753ED5" w:rsidRDefault="00753ED5" w:rsidP="00753ED5">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753ED5">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753ED5">
        <w:rPr>
          <w:rFonts w:ascii="Times New Roman" w:eastAsia="Times New Roman" w:hAnsi="Times New Roman" w:cs="Times New Roman"/>
          <w:bCs/>
          <w:kern w:val="28"/>
          <w:sz w:val="36"/>
          <w:szCs w:val="32"/>
          <w:lang w:eastAsia="ru-RU"/>
          <w14:ligatures w14:val="none"/>
        </w:rPr>
        <w:br/>
        <w:t>КОМІСІЯ ПРОКУРОРІВ</w:t>
      </w:r>
    </w:p>
    <w:p w14:paraId="0E3227C5" w14:textId="77777777" w:rsidR="00753ED5" w:rsidRPr="00753ED5" w:rsidRDefault="00753ED5" w:rsidP="00753ED5">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352C7A12" w14:textId="77777777" w:rsidR="00753ED5" w:rsidRPr="00753ED5" w:rsidRDefault="00753ED5" w:rsidP="00753ED5">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753ED5">
        <w:rPr>
          <w:rFonts w:ascii="Times New Roman" w:eastAsia="Times New Roman" w:hAnsi="Times New Roman" w:cs="Times New Roman"/>
          <w:b/>
          <w:kern w:val="28"/>
          <w:sz w:val="28"/>
          <w:szCs w:val="28"/>
          <w:lang w:eastAsia="uk-UA"/>
          <w14:ligatures w14:val="none"/>
        </w:rPr>
        <w:t>Р І Ш Е Н Н Я</w:t>
      </w:r>
    </w:p>
    <w:p w14:paraId="0653E5A6" w14:textId="77777777" w:rsidR="00753ED5" w:rsidRPr="00753ED5" w:rsidRDefault="00753ED5" w:rsidP="00753ED5">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5B9DD45D" w14:textId="77777777" w:rsidR="00753ED5" w:rsidRPr="00753ED5" w:rsidRDefault="00753ED5" w:rsidP="00753ED5">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753ED5">
        <w:rPr>
          <w:rFonts w:ascii="Times New Roman" w:eastAsia="Times New Roman" w:hAnsi="Times New Roman" w:cs="Times New Roman"/>
          <w:b/>
          <w:kern w:val="28"/>
          <w:sz w:val="28"/>
          <w:szCs w:val="28"/>
          <w:lang w:eastAsia="uk-UA"/>
          <w14:ligatures w14:val="none"/>
        </w:rPr>
        <w:t>13 травня 2026 року</w:t>
      </w:r>
      <w:r w:rsidRPr="00753ED5">
        <w:rPr>
          <w:rFonts w:ascii="Times New Roman" w:eastAsia="Times New Roman" w:hAnsi="Times New Roman" w:cs="Times New Roman"/>
          <w:b/>
          <w:kern w:val="28"/>
          <w:sz w:val="28"/>
          <w:szCs w:val="28"/>
          <w:lang w:eastAsia="uk-UA"/>
          <w14:ligatures w14:val="none"/>
        </w:rPr>
        <w:tab/>
      </w:r>
      <w:r w:rsidRPr="00753ED5">
        <w:rPr>
          <w:rFonts w:ascii="Times New Roman" w:eastAsia="Times New Roman" w:hAnsi="Times New Roman" w:cs="Times New Roman"/>
          <w:b/>
          <w:kern w:val="28"/>
          <w:sz w:val="28"/>
          <w:szCs w:val="28"/>
          <w:lang w:eastAsia="uk-UA"/>
          <w14:ligatures w14:val="none"/>
        </w:rPr>
        <w:tab/>
      </w:r>
      <w:r w:rsidRPr="00753ED5">
        <w:rPr>
          <w:rFonts w:ascii="Times New Roman" w:eastAsia="Times New Roman" w:hAnsi="Times New Roman" w:cs="Times New Roman"/>
          <w:b/>
          <w:kern w:val="28"/>
          <w:sz w:val="28"/>
          <w:szCs w:val="28"/>
          <w:lang w:eastAsia="uk-UA"/>
          <w14:ligatures w14:val="none"/>
        </w:rPr>
        <w:tab/>
        <w:t xml:space="preserve">      Київ</w:t>
      </w:r>
      <w:r w:rsidRPr="00753ED5">
        <w:rPr>
          <w:rFonts w:ascii="Times New Roman" w:eastAsia="Times New Roman" w:hAnsi="Times New Roman" w:cs="Times New Roman"/>
          <w:b/>
          <w:kern w:val="28"/>
          <w:sz w:val="28"/>
          <w:szCs w:val="28"/>
          <w:lang w:eastAsia="uk-UA"/>
          <w14:ligatures w14:val="none"/>
        </w:rPr>
        <w:tab/>
      </w:r>
      <w:r w:rsidRPr="00753ED5">
        <w:rPr>
          <w:rFonts w:ascii="Times New Roman" w:eastAsia="Times New Roman" w:hAnsi="Times New Roman" w:cs="Times New Roman"/>
          <w:b/>
          <w:kern w:val="28"/>
          <w:sz w:val="28"/>
          <w:szCs w:val="28"/>
          <w:lang w:eastAsia="uk-UA"/>
          <w14:ligatures w14:val="none"/>
        </w:rPr>
        <w:tab/>
        <w:t xml:space="preserve">    </w:t>
      </w:r>
      <w:r w:rsidRPr="00753ED5">
        <w:rPr>
          <w:rFonts w:ascii="Times New Roman" w:eastAsia="Times New Roman" w:hAnsi="Times New Roman" w:cs="Times New Roman"/>
          <w:b/>
          <w:kern w:val="28"/>
          <w:sz w:val="28"/>
          <w:szCs w:val="28"/>
          <w:lang w:val="ru-RU" w:eastAsia="uk-UA"/>
          <w14:ligatures w14:val="none"/>
        </w:rPr>
        <w:t xml:space="preserve">   </w:t>
      </w:r>
      <w:r w:rsidRPr="00753ED5">
        <w:rPr>
          <w:rFonts w:ascii="Times New Roman" w:eastAsia="Times New Roman" w:hAnsi="Times New Roman" w:cs="Times New Roman"/>
          <w:b/>
          <w:kern w:val="28"/>
          <w:sz w:val="28"/>
          <w:szCs w:val="28"/>
          <w:lang w:eastAsia="uk-UA"/>
          <w14:ligatures w14:val="none"/>
        </w:rPr>
        <w:t xml:space="preserve">                  № 398</w:t>
      </w:r>
      <w:r w:rsidRPr="00753ED5">
        <w:rPr>
          <w:rFonts w:ascii="Times New Roman" w:eastAsia="Times New Roman" w:hAnsi="Times New Roman" w:cs="Times New Roman"/>
          <w:b/>
          <w:kern w:val="0"/>
          <w:sz w:val="28"/>
          <w:lang w:eastAsia="ru-RU"/>
          <w14:ligatures w14:val="none"/>
        </w:rPr>
        <w:t>дс-</w:t>
      </w:r>
      <w:r w:rsidRPr="00753ED5">
        <w:rPr>
          <w:rFonts w:ascii="Times New Roman" w:eastAsia="Times New Roman" w:hAnsi="Times New Roman" w:cs="Times New Roman"/>
          <w:b/>
          <w:kern w:val="28"/>
          <w:sz w:val="28"/>
          <w:szCs w:val="28"/>
          <w:lang w:eastAsia="uk-UA"/>
          <w14:ligatures w14:val="none"/>
        </w:rPr>
        <w:t>26</w:t>
      </w:r>
    </w:p>
    <w:p w14:paraId="50E8E36D" w14:textId="77777777" w:rsidR="00753ED5" w:rsidRPr="00753ED5" w:rsidRDefault="00753ED5" w:rsidP="00753ED5">
      <w:pPr>
        <w:spacing w:after="0" w:line="240" w:lineRule="auto"/>
        <w:ind w:right="-284"/>
        <w:jc w:val="both"/>
        <w:rPr>
          <w:rFonts w:ascii="Times New Roman" w:eastAsia="Times New Roman" w:hAnsi="Times New Roman" w:cs="Times New Roman"/>
          <w:b/>
          <w:kern w:val="28"/>
          <w:sz w:val="28"/>
          <w:szCs w:val="28"/>
          <w:lang w:val="ru-RU" w:eastAsia="uk-UA"/>
          <w14:ligatures w14:val="none"/>
        </w:rPr>
      </w:pPr>
    </w:p>
    <w:p w14:paraId="1169BF2B" w14:textId="77777777" w:rsidR="00753ED5" w:rsidRPr="00753ED5" w:rsidRDefault="00753ED5" w:rsidP="00753ED5">
      <w:pPr>
        <w:spacing w:after="0" w:line="240" w:lineRule="auto"/>
        <w:ind w:right="-284"/>
        <w:jc w:val="center"/>
        <w:rPr>
          <w:rFonts w:ascii="Times New Roman" w:eastAsia="Times New Roman" w:hAnsi="Times New Roman" w:cs="Times New Roman"/>
          <w:b/>
          <w:kern w:val="0"/>
          <w:sz w:val="28"/>
          <w:lang w:eastAsia="ru-RU"/>
          <w14:ligatures w14:val="none"/>
        </w:rPr>
      </w:pPr>
    </w:p>
    <w:p w14:paraId="20D77DAF" w14:textId="77777777" w:rsidR="00753ED5" w:rsidRPr="00753ED5" w:rsidRDefault="00753ED5" w:rsidP="00753ED5">
      <w:pPr>
        <w:spacing w:after="0" w:line="240" w:lineRule="auto"/>
        <w:ind w:right="-284"/>
        <w:jc w:val="both"/>
        <w:rPr>
          <w:rFonts w:ascii="Times New Roman" w:hAnsi="Times New Roman" w:cs="Times New Roman"/>
          <w:b/>
          <w:bCs/>
          <w:kern w:val="0"/>
          <w:sz w:val="28"/>
          <w:szCs w:val="28"/>
          <w:lang w:eastAsia="ru-RU"/>
          <w14:ligatures w14:val="none"/>
        </w:rPr>
      </w:pPr>
      <w:r w:rsidRPr="00753ED5">
        <w:rPr>
          <w:rFonts w:ascii="Times New Roman" w:hAnsi="Times New Roman" w:cs="Times New Roman"/>
          <w:b/>
          <w:bCs/>
          <w:kern w:val="0"/>
          <w:sz w:val="28"/>
          <w:szCs w:val="28"/>
          <w:lang w:eastAsia="ru-RU"/>
          <w14:ligatures w14:val="none"/>
        </w:rPr>
        <w:t xml:space="preserve">Про відмову у відкритті </w:t>
      </w:r>
    </w:p>
    <w:p w14:paraId="05FD6ABC" w14:textId="77777777" w:rsidR="00753ED5" w:rsidRPr="00753ED5" w:rsidRDefault="00753ED5" w:rsidP="00753ED5">
      <w:pPr>
        <w:spacing w:after="0" w:line="240" w:lineRule="auto"/>
        <w:ind w:right="-284"/>
        <w:jc w:val="both"/>
        <w:rPr>
          <w:rFonts w:ascii="Times New Roman" w:hAnsi="Times New Roman" w:cs="Times New Roman"/>
          <w:b/>
          <w:bCs/>
          <w:kern w:val="0"/>
          <w:sz w:val="28"/>
          <w:szCs w:val="28"/>
          <w:lang w:eastAsia="ru-RU"/>
          <w14:ligatures w14:val="none"/>
        </w:rPr>
      </w:pPr>
      <w:r w:rsidRPr="00753ED5">
        <w:rPr>
          <w:rFonts w:ascii="Times New Roman" w:hAnsi="Times New Roman" w:cs="Times New Roman"/>
          <w:b/>
          <w:bCs/>
          <w:kern w:val="0"/>
          <w:sz w:val="28"/>
          <w:szCs w:val="28"/>
          <w:lang w:eastAsia="ru-RU"/>
          <w14:ligatures w14:val="none"/>
        </w:rPr>
        <w:t xml:space="preserve">дисциплінарного провадження </w:t>
      </w:r>
    </w:p>
    <w:p w14:paraId="65F45EB3" w14:textId="77777777" w:rsidR="00753ED5" w:rsidRPr="00753ED5" w:rsidRDefault="00753ED5" w:rsidP="00753ED5">
      <w:pPr>
        <w:spacing w:after="0" w:line="240" w:lineRule="auto"/>
        <w:ind w:right="-284" w:firstLine="709"/>
        <w:jc w:val="both"/>
        <w:rPr>
          <w:rFonts w:ascii="Times New Roman" w:hAnsi="Times New Roman" w:cs="Times New Roman"/>
          <w:kern w:val="0"/>
          <w:sz w:val="28"/>
          <w:szCs w:val="28"/>
          <w:lang w:eastAsia="ru-RU"/>
          <w14:ligatures w14:val="none"/>
        </w:rPr>
      </w:pPr>
    </w:p>
    <w:p w14:paraId="6AE1DFE7" w14:textId="2494E20A"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E6611E">
        <w:rPr>
          <w:rFonts w:ascii="Times New Roman" w:hAnsi="Times New Roman" w:cs="Times New Roman"/>
          <w:kern w:val="0"/>
          <w:sz w:val="28"/>
          <w:szCs w:val="28"/>
          <w:lang w:eastAsia="ru-RU"/>
          <w14:ligatures w14:val="none"/>
        </w:rPr>
        <w:t>ОСОБА 1</w:t>
      </w:r>
      <w:r w:rsidRPr="00753ED5">
        <w:rPr>
          <w:rFonts w:ascii="Times New Roman" w:hAnsi="Times New Roman" w:cs="Times New Roman"/>
          <w:kern w:val="0"/>
          <w:sz w:val="28"/>
          <w:szCs w:val="28"/>
          <w:lang w:eastAsia="ru-RU"/>
          <w14:ligatures w14:val="none"/>
        </w:rPr>
        <w:t xml:space="preserve"> стосовно </w:t>
      </w:r>
      <w:bookmarkStart w:id="0" w:name="_Hlk219132363"/>
      <w:r w:rsidRPr="00753ED5">
        <w:rPr>
          <w:rFonts w:ascii="Times New Roman" w:hAnsi="Times New Roman" w:cs="Times New Roman"/>
          <w:kern w:val="0"/>
          <w:sz w:val="28"/>
          <w:szCs w:val="28"/>
          <w:lang w:eastAsia="ru-RU"/>
          <w14:ligatures w14:val="none"/>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Романця Ю.М. </w:t>
      </w:r>
      <w:bookmarkEnd w:id="0"/>
      <w:r w:rsidRPr="00753ED5">
        <w:rPr>
          <w:rFonts w:ascii="Times New Roman" w:hAnsi="Times New Roman" w:cs="Times New Roman"/>
          <w:kern w:val="0"/>
          <w:sz w:val="28"/>
          <w:szCs w:val="28"/>
          <w:lang w:eastAsia="ru-RU"/>
          <w14:ligatures w14:val="none"/>
        </w:rPr>
        <w:t>(далі – прокурор Романець Ю.М.),</w:t>
      </w:r>
    </w:p>
    <w:p w14:paraId="765789D1" w14:textId="77777777" w:rsidR="00753ED5" w:rsidRPr="00753ED5" w:rsidRDefault="00753ED5" w:rsidP="00753ED5">
      <w:pPr>
        <w:spacing w:before="240" w:after="240" w:line="240" w:lineRule="auto"/>
        <w:jc w:val="center"/>
        <w:rPr>
          <w:rFonts w:ascii="Times New Roman" w:hAnsi="Times New Roman" w:cs="Times New Roman"/>
          <w:b/>
          <w:bCs/>
          <w:kern w:val="0"/>
          <w:sz w:val="28"/>
          <w:szCs w:val="28"/>
          <w:lang w:eastAsia="ru-RU"/>
          <w14:ligatures w14:val="none"/>
        </w:rPr>
      </w:pPr>
      <w:r w:rsidRPr="00753ED5">
        <w:rPr>
          <w:rFonts w:ascii="Times New Roman" w:hAnsi="Times New Roman" w:cs="Times New Roman"/>
          <w:b/>
          <w:bCs/>
          <w:kern w:val="0"/>
          <w:sz w:val="28"/>
          <w:szCs w:val="28"/>
          <w:lang w:eastAsia="ru-RU"/>
          <w14:ligatures w14:val="none"/>
        </w:rPr>
        <w:t>У С Т А Н О В И Л А</w:t>
      </w:r>
    </w:p>
    <w:p w14:paraId="174EFC28" w14:textId="01B93F3D"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 xml:space="preserve">До Комісії надійшла дисциплінарна скарга </w:t>
      </w:r>
      <w:r w:rsidR="00E6611E">
        <w:rPr>
          <w:rFonts w:ascii="Times New Roman" w:hAnsi="Times New Roman" w:cs="Times New Roman"/>
          <w:kern w:val="0"/>
          <w:sz w:val="28"/>
          <w:szCs w:val="28"/>
          <w:lang w:eastAsia="ru-RU"/>
          <w14:ligatures w14:val="none"/>
        </w:rPr>
        <w:t>ОСОБА 1</w:t>
      </w:r>
      <w:r w:rsidRPr="00753ED5">
        <w:rPr>
          <w:rFonts w:ascii="Times New Roman" w:hAnsi="Times New Roman" w:cs="Times New Roman"/>
          <w:kern w:val="0"/>
          <w:sz w:val="28"/>
          <w:szCs w:val="28"/>
          <w:lang w:eastAsia="ru-RU"/>
          <w14:ligatures w14:val="none"/>
        </w:rPr>
        <w:t xml:space="preserve"> (далі – скаржник) про вчинення дисциплінарного проступку прокурором Романцем Ю.М.</w:t>
      </w:r>
    </w:p>
    <w:p w14:paraId="4C2C4D4B" w14:textId="77777777"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Скарга передана мені, члену Комісії Гарбузі Н.В. (протокол авторозподілу від 01 травня 2026 року).</w:t>
      </w:r>
    </w:p>
    <w:p w14:paraId="5A9E0A04" w14:textId="77777777"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7BF31823" w14:textId="77777777" w:rsidR="00753ED5" w:rsidRPr="00753ED5" w:rsidRDefault="00753ED5" w:rsidP="00753ED5">
      <w:pPr>
        <w:spacing w:before="120" w:after="120" w:line="240" w:lineRule="auto"/>
        <w:ind w:firstLine="709"/>
        <w:jc w:val="both"/>
        <w:rPr>
          <w:rFonts w:ascii="Times New Roman" w:eastAsia="Calibri" w:hAnsi="Times New Roman" w:cs="Times New Roman"/>
          <w:b/>
          <w:bCs/>
          <w:kern w:val="0"/>
          <w:sz w:val="28"/>
          <w:szCs w:val="28"/>
          <w14:ligatures w14:val="none"/>
        </w:rPr>
      </w:pPr>
      <w:r w:rsidRPr="00753ED5">
        <w:rPr>
          <w:rFonts w:ascii="Times New Roman" w:eastAsia="Calibri" w:hAnsi="Times New Roman" w:cs="Times New Roman"/>
          <w:b/>
          <w:bCs/>
          <w:kern w:val="0"/>
          <w:sz w:val="28"/>
          <w:szCs w:val="28"/>
          <w14:ligatures w14:val="none"/>
        </w:rPr>
        <w:t>Зміст скарги</w:t>
      </w:r>
    </w:p>
    <w:p w14:paraId="37F1EB01"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14:paraId="56D15B9B"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Водночас з її тексту можна вважати, що прокурор Романець Ю.М. вчинив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 w:name="_Hlk227567378"/>
      <w:r w:rsidRPr="00753ED5">
        <w:rPr>
          <w:rFonts w:ascii="Times New Roman" w:eastAsia="Calibri" w:hAnsi="Times New Roman" w:cs="Times New Roman"/>
          <w:kern w:val="0"/>
          <w:sz w:val="28"/>
          <w:szCs w:val="28"/>
          <w14:ligatures w14:val="none"/>
        </w:rPr>
        <w:t xml:space="preserve"> і 6 (систематичне (два і більше разів протягом одного року (або одноразове грубе порушення правил прокурорської етики) частини першої статті  43 Закону № 1697-VІІ</w:t>
      </w:r>
      <w:bookmarkEnd w:id="1"/>
      <w:r w:rsidRPr="00753ED5">
        <w:rPr>
          <w:rFonts w:ascii="Times New Roman" w:eastAsia="Calibri" w:hAnsi="Times New Roman" w:cs="Times New Roman"/>
          <w:kern w:val="0"/>
          <w:sz w:val="28"/>
          <w:szCs w:val="28"/>
          <w14:ligatures w14:val="none"/>
        </w:rPr>
        <w:t xml:space="preserve"> за таких обставин.</w:t>
      </w:r>
    </w:p>
    <w:p w14:paraId="38B425C5" w14:textId="7F32760F"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bookmarkStart w:id="2" w:name="_Hlk218615735"/>
      <w:r w:rsidRPr="00753ED5">
        <w:rPr>
          <w:rFonts w:ascii="Times New Roman" w:eastAsia="Calibri" w:hAnsi="Times New Roman" w:cs="Times New Roman"/>
          <w:kern w:val="0"/>
          <w:sz w:val="28"/>
          <w:szCs w:val="28"/>
          <w14:ligatures w14:val="none"/>
        </w:rPr>
        <w:lastRenderedPageBreak/>
        <w:t>Скаржник вказує про неналежне виконання службових обов’язків прокурором Романцем Ю.М. під час здійснення процесуального керівництва досудовим розслідуванням</w:t>
      </w:r>
      <w:bookmarkEnd w:id="2"/>
      <w:r w:rsidRPr="00753ED5">
        <w:rPr>
          <w:rFonts w:ascii="Times New Roman" w:eastAsia="Calibri" w:hAnsi="Times New Roman" w:cs="Times New Roman"/>
          <w:kern w:val="0"/>
          <w:sz w:val="28"/>
          <w:szCs w:val="28"/>
          <w14:ligatures w14:val="none"/>
        </w:rPr>
        <w:t xml:space="preserve"> у кримінальному провадженні стосовно </w:t>
      </w:r>
      <w:r w:rsidR="00E6611E">
        <w:rPr>
          <w:rFonts w:ascii="Times New Roman" w:eastAsia="Calibri" w:hAnsi="Times New Roman" w:cs="Times New Roman"/>
          <w:kern w:val="0"/>
          <w:sz w:val="28"/>
          <w:szCs w:val="28"/>
          <w14:ligatures w14:val="none"/>
        </w:rPr>
        <w:t>ОСОБА 1</w:t>
      </w:r>
      <w:r w:rsidRPr="00753ED5">
        <w:rPr>
          <w:rFonts w:ascii="Times New Roman" w:eastAsia="Calibri" w:hAnsi="Times New Roman" w:cs="Times New Roman"/>
          <w:kern w:val="0"/>
          <w:sz w:val="28"/>
          <w:szCs w:val="28"/>
          <w14:ligatures w14:val="none"/>
        </w:rPr>
        <w:t>, яке проводилось з порушенням вимог статей 9, 22, 94 Кримінального процесуального кодексу України (далі – КПК України).</w:t>
      </w:r>
    </w:p>
    <w:p w14:paraId="7219D5F3"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Для обґрунтування своїх думок скаржник наводить доводи з посиланням на оцінку матеріалів кримінального провадження.</w:t>
      </w:r>
    </w:p>
    <w:p w14:paraId="6431ADE2"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Окрім того, у дисциплінарній скарзі викладаються інші обставини зазначених подій, надається оцінка дій прокурора тощо.</w:t>
      </w:r>
    </w:p>
    <w:p w14:paraId="60E89270" w14:textId="77777777" w:rsidR="00753ED5" w:rsidRPr="00753ED5" w:rsidRDefault="00753ED5" w:rsidP="00753ED5">
      <w:pPr>
        <w:spacing w:before="120" w:after="120" w:line="240" w:lineRule="auto"/>
        <w:ind w:firstLine="709"/>
        <w:jc w:val="both"/>
        <w:rPr>
          <w:rFonts w:ascii="Times New Roman" w:eastAsia="Calibri" w:hAnsi="Times New Roman" w:cs="Times New Roman"/>
          <w:b/>
          <w:bCs/>
          <w:kern w:val="0"/>
          <w:sz w:val="28"/>
          <w:szCs w:val="28"/>
          <w14:ligatures w14:val="none"/>
        </w:rPr>
      </w:pPr>
      <w:r w:rsidRPr="00753ED5">
        <w:rPr>
          <w:rFonts w:ascii="Times New Roman" w:eastAsia="Calibri" w:hAnsi="Times New Roman" w:cs="Times New Roman"/>
          <w:b/>
          <w:bCs/>
          <w:kern w:val="0"/>
          <w:sz w:val="28"/>
          <w:szCs w:val="28"/>
          <w14:ligatures w14:val="none"/>
        </w:rPr>
        <w:t>Щодо встановлених фактичних даних</w:t>
      </w:r>
    </w:p>
    <w:p w14:paraId="5546BCA3"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hAnsi="Times New Roman" w:cs="Times New Roman"/>
          <w:kern w:val="0"/>
          <w:sz w:val="28"/>
          <w:szCs w:val="28"/>
          <w:lang w:eastAsia="ru-RU"/>
          <w14:ligatures w14:val="none"/>
        </w:rPr>
        <w:t xml:space="preserve">До дисциплінарної скарги будь-яких документів не </w:t>
      </w:r>
      <w:bookmarkStart w:id="3" w:name="_Hlk218615341"/>
      <w:r w:rsidRPr="00753ED5">
        <w:rPr>
          <w:rFonts w:ascii="Times New Roman" w:hAnsi="Times New Roman" w:cs="Times New Roman"/>
          <w:kern w:val="0"/>
          <w:sz w:val="28"/>
          <w:szCs w:val="28"/>
          <w:lang w:eastAsia="ru-RU"/>
          <w14:ligatures w14:val="none"/>
        </w:rPr>
        <w:t>долучено.</w:t>
      </w:r>
      <w:bookmarkEnd w:id="3"/>
      <w:r w:rsidRPr="00753ED5">
        <w:rPr>
          <w:rFonts w:ascii="Times New Roman" w:eastAsia="Calibri" w:hAnsi="Times New Roman" w:cs="Times New Roman"/>
          <w:kern w:val="0"/>
          <w:sz w:val="28"/>
          <w:szCs w:val="28"/>
          <w14:ligatures w14:val="none"/>
        </w:rPr>
        <w:t xml:space="preserve"> </w:t>
      </w:r>
    </w:p>
    <w:p w14:paraId="15BF8CEA" w14:textId="77777777" w:rsidR="00753ED5" w:rsidRPr="00753ED5" w:rsidRDefault="00753ED5" w:rsidP="00753ED5">
      <w:pPr>
        <w:spacing w:before="120" w:after="120" w:line="240" w:lineRule="auto"/>
        <w:ind w:firstLine="709"/>
        <w:jc w:val="both"/>
        <w:rPr>
          <w:rFonts w:ascii="Times New Roman" w:eastAsia="Calibri" w:hAnsi="Times New Roman" w:cs="Times New Roman"/>
          <w:b/>
          <w:bCs/>
          <w:kern w:val="0"/>
          <w:sz w:val="28"/>
          <w:szCs w:val="28"/>
          <w14:ligatures w14:val="none"/>
        </w:rPr>
      </w:pPr>
      <w:r w:rsidRPr="00753ED5">
        <w:rPr>
          <w:rFonts w:ascii="Times New Roman" w:eastAsia="Calibri" w:hAnsi="Times New Roman" w:cs="Times New Roman"/>
          <w:b/>
          <w:bCs/>
          <w:kern w:val="0"/>
          <w:sz w:val="28"/>
          <w:szCs w:val="28"/>
          <w14:ligatures w14:val="none"/>
        </w:rPr>
        <w:t>Щодо джерел права, які підлягають застосуванню</w:t>
      </w:r>
    </w:p>
    <w:p w14:paraId="708D9C5C"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3B46DD6"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BE65A52"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0F23E2BE"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6EBE5C87"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17F08827" w14:textId="77777777" w:rsidR="00753ED5" w:rsidRPr="00753ED5" w:rsidRDefault="00753ED5" w:rsidP="00753ED5">
      <w:pPr>
        <w:spacing w:after="0" w:line="240" w:lineRule="auto"/>
        <w:ind w:firstLine="709"/>
        <w:jc w:val="both"/>
        <w:rPr>
          <w:rFonts w:ascii="Times New Roman" w:hAnsi="Times New Roman" w:cs="Times New Roman"/>
          <w:bCs/>
          <w:color w:val="000000" w:themeColor="text1"/>
          <w:kern w:val="0"/>
          <w:sz w:val="28"/>
          <w:szCs w:val="28"/>
          <w14:ligatures w14:val="none"/>
        </w:rPr>
      </w:pPr>
      <w:r w:rsidRPr="00753ED5">
        <w:rPr>
          <w:rFonts w:ascii="Times New Roman"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01A4033C"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w:t>
      </w:r>
      <w:r w:rsidRPr="00753ED5">
        <w:rPr>
          <w:rFonts w:ascii="Times New Roman" w:eastAsia="Calibri" w:hAnsi="Times New Roman" w:cs="Times New Roman"/>
          <w:kern w:val="0"/>
          <w:sz w:val="28"/>
          <w:szCs w:val="28"/>
          <w14:ligatures w14:val="none"/>
        </w:rPr>
        <w:lastRenderedPageBreak/>
        <w:t>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0C1CB7B8" w14:textId="77777777" w:rsidR="00753ED5" w:rsidRPr="00753ED5" w:rsidRDefault="00753ED5" w:rsidP="00753ED5">
      <w:pPr>
        <w:spacing w:after="0" w:line="240" w:lineRule="auto"/>
        <w:ind w:firstLine="709"/>
        <w:jc w:val="both"/>
        <w:rPr>
          <w:rFonts w:ascii="Times New Roman" w:hAnsi="Times New Roman"/>
          <w:kern w:val="0"/>
          <w:sz w:val="28"/>
          <w:szCs w:val="28"/>
          <w14:ligatures w14:val="none"/>
        </w:rPr>
      </w:pPr>
      <w:r w:rsidRPr="00753ED5">
        <w:rPr>
          <w:rFonts w:ascii="Times New Roman" w:eastAsia="Calibri" w:hAnsi="Times New Roman" w:cs="Times New Roman"/>
          <w:kern w:val="0"/>
          <w:sz w:val="28"/>
          <w:szCs w:val="28"/>
          <w14:ligatures w14:val="none"/>
        </w:rPr>
        <w:t>С</w:t>
      </w:r>
      <w:r w:rsidRPr="00753ED5">
        <w:rPr>
          <w:rFonts w:ascii="Times New Roman" w:hAnsi="Times New Roman"/>
          <w:bCs/>
          <w:kern w:val="0"/>
          <w:sz w:val="28"/>
          <w:szCs w:val="28"/>
          <w14:ligatures w14:val="none"/>
        </w:rPr>
        <w:t xml:space="preserve">таттею 24 КПК України передбачено </w:t>
      </w:r>
      <w:r w:rsidRPr="00753ED5">
        <w:rPr>
          <w:rFonts w:ascii="Times New Roman" w:hAnsi="Times New Roman"/>
          <w:kern w:val="0"/>
          <w:sz w:val="28"/>
          <w:szCs w:val="28"/>
          <w14:ligatures w14:val="none"/>
        </w:rPr>
        <w:t>забезпечення права на </w:t>
      </w:r>
      <w:bookmarkStart w:id="4" w:name="w1_2"/>
      <w:r w:rsidRPr="00753ED5">
        <w:rPr>
          <w:rFonts w:ascii="Times New Roman" w:hAnsi="Times New Roman"/>
          <w:kern w:val="0"/>
          <w:sz w:val="28"/>
          <w:szCs w:val="28"/>
          <w14:ligatures w14:val="none"/>
        </w:rPr>
        <w:t xml:space="preserve">оскарження </w:t>
      </w:r>
      <w:bookmarkEnd w:id="4"/>
      <w:r w:rsidRPr="00753ED5">
        <w:rPr>
          <w:rFonts w:ascii="Times New Roman" w:hAnsi="Times New Roman"/>
          <w:kern w:val="0"/>
          <w:sz w:val="28"/>
          <w:szCs w:val="28"/>
          <w14:ligatures w14:val="none"/>
        </w:rPr>
        <w:t>процесуальних рішень, дій чи бездіяльності, де зазначено, що кожному гарантується право на </w:t>
      </w:r>
      <w:bookmarkStart w:id="5" w:name="w1_3"/>
      <w:r w:rsidRPr="00753ED5">
        <w:rPr>
          <w:rFonts w:ascii="Times New Roman" w:hAnsi="Times New Roman"/>
          <w:kern w:val="0"/>
          <w:sz w:val="28"/>
          <w:szCs w:val="28"/>
          <w14:ligatures w14:val="none"/>
        </w:rPr>
        <w:t xml:space="preserve">оскарження </w:t>
      </w:r>
      <w:bookmarkEnd w:id="5"/>
      <w:r w:rsidRPr="00753ED5">
        <w:rPr>
          <w:rFonts w:ascii="Times New Roman" w:hAnsi="Times New Roman"/>
          <w:kern w:val="0"/>
          <w:sz w:val="28"/>
          <w:szCs w:val="28"/>
          <w14:ligatures w14:val="none"/>
        </w:rPr>
        <w:t>процесуальних рішень, </w:t>
      </w:r>
      <w:bookmarkStart w:id="6" w:name="w2_39"/>
      <w:r w:rsidRPr="00753ED5">
        <w:rPr>
          <w:rFonts w:ascii="Times New Roman" w:hAnsi="Times New Roman"/>
          <w:kern w:val="0"/>
          <w:sz w:val="28"/>
          <w:szCs w:val="28"/>
          <w14:ligatures w14:val="none"/>
        </w:rPr>
        <w:t>дій</w:t>
      </w:r>
      <w:bookmarkEnd w:id="6"/>
      <w:r w:rsidRPr="00753ED5">
        <w:rPr>
          <w:rFonts w:ascii="Times New Roman" w:hAnsi="Times New Roman"/>
          <w:kern w:val="0"/>
          <w:sz w:val="28"/>
          <w:szCs w:val="28"/>
          <w14:ligatures w14:val="none"/>
        </w:rPr>
        <w:t> чи бездіяльності суду, слідчого судді, </w:t>
      </w:r>
      <w:bookmarkStart w:id="7" w:name="w3_3"/>
      <w:r w:rsidRPr="00753ED5">
        <w:rPr>
          <w:rFonts w:ascii="Times New Roman" w:hAnsi="Times New Roman"/>
          <w:kern w:val="0"/>
          <w:sz w:val="28"/>
          <w:szCs w:val="28"/>
          <w14:ligatures w14:val="none"/>
        </w:rPr>
        <w:t>прокурора</w:t>
      </w:r>
      <w:bookmarkEnd w:id="7"/>
      <w:r w:rsidRPr="00753ED5">
        <w:rPr>
          <w:rFonts w:ascii="Times New Roman" w:hAnsi="Times New Roman"/>
          <w:kern w:val="0"/>
          <w:sz w:val="28"/>
          <w:szCs w:val="28"/>
          <w14:ligatures w14:val="none"/>
        </w:rPr>
        <w:t>, слідчого в порядку, передбаченому цим Кодексом.</w:t>
      </w:r>
    </w:p>
    <w:p w14:paraId="44C0B3AF" w14:textId="77777777" w:rsidR="00753ED5" w:rsidRPr="00753ED5" w:rsidRDefault="00753ED5" w:rsidP="00753ED5">
      <w:pPr>
        <w:spacing w:after="0" w:line="240" w:lineRule="auto"/>
        <w:ind w:firstLine="709"/>
        <w:jc w:val="both"/>
        <w:rPr>
          <w:rFonts w:ascii="Times New Roman" w:hAnsi="Times New Roman"/>
          <w:bCs/>
          <w:kern w:val="0"/>
          <w:sz w:val="28"/>
          <w:szCs w:val="28"/>
          <w:shd w:val="clear" w:color="auto" w:fill="FFFFFF"/>
          <w14:ligatures w14:val="none"/>
        </w:rPr>
      </w:pPr>
      <w:r w:rsidRPr="00753ED5">
        <w:rPr>
          <w:rFonts w:ascii="Times New Roman" w:hAnsi="Times New Roman"/>
          <w:kern w:val="0"/>
          <w:sz w:val="28"/>
          <w:szCs w:val="28"/>
          <w14:ligatures w14:val="none"/>
        </w:rPr>
        <w:t xml:space="preserve">Безпосередній порядок оскарження </w:t>
      </w:r>
      <w:r w:rsidRPr="00753ED5">
        <w:rPr>
          <w:rFonts w:ascii="Times New Roman" w:hAnsi="Times New Roman"/>
          <w:bCs/>
          <w:kern w:val="0"/>
          <w:sz w:val="28"/>
          <w:szCs w:val="28"/>
          <w:shd w:val="clear" w:color="auto" w:fill="FFFFFF"/>
          <w14:ligatures w14:val="none"/>
        </w:rPr>
        <w:t xml:space="preserve">рішень, дій чи бездіяльності під час досудового розслідування регламентовано главою 26 КПК України. </w:t>
      </w:r>
    </w:p>
    <w:p w14:paraId="2FBA1B80" w14:textId="77777777" w:rsidR="00753ED5" w:rsidRPr="00753ED5" w:rsidRDefault="00753ED5" w:rsidP="00753ED5">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753ED5">
        <w:rPr>
          <w:rFonts w:ascii="Times New Roman" w:eastAsia="Times New Roman" w:hAnsi="Times New Roman" w:cs="Times New Roman"/>
          <w:kern w:val="0"/>
          <w:sz w:val="28"/>
          <w:szCs w:val="28"/>
          <w:lang w:eastAsia="uk-UA"/>
          <w14:ligatures w14:val="none"/>
        </w:rPr>
        <w:t>Відповідно до стаття 84 КПК України доказами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14:paraId="11BDD445" w14:textId="77777777" w:rsidR="00753ED5" w:rsidRPr="00753ED5" w:rsidRDefault="00753ED5" w:rsidP="00753ED5">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753ED5">
        <w:rPr>
          <w:rFonts w:ascii="Times New Roman" w:eastAsia="Times New Roman" w:hAnsi="Times New Roman" w:cs="Times New Roman"/>
          <w:kern w:val="0"/>
          <w:sz w:val="28"/>
          <w:szCs w:val="28"/>
          <w:lang w:eastAsia="uk-UA"/>
          <w14:ligatures w14:val="none"/>
        </w:rPr>
        <w:t>Процесуальними джерелами доказів є показання, речові докази, документи, висновки експертів.</w:t>
      </w:r>
    </w:p>
    <w:p w14:paraId="3A851B95" w14:textId="77777777" w:rsidR="00753ED5" w:rsidRPr="00753ED5" w:rsidRDefault="00753ED5" w:rsidP="00753ED5">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753ED5">
        <w:rPr>
          <w:rFonts w:ascii="Times New Roman" w:eastAsia="Times New Roman" w:hAnsi="Times New Roman" w:cs="Times New Roman"/>
          <w:kern w:val="0"/>
          <w:sz w:val="28"/>
          <w:szCs w:val="28"/>
          <w:lang w:eastAsia="uk-UA"/>
          <w14:ligatures w14:val="none"/>
        </w:rPr>
        <w:t>Статтею 94 КПК України встановлено,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1F7FE5AB" w14:textId="77777777" w:rsidR="00753ED5" w:rsidRPr="00753ED5" w:rsidRDefault="00753ED5" w:rsidP="00753ED5">
      <w:pPr>
        <w:spacing w:after="0" w:line="240" w:lineRule="auto"/>
        <w:ind w:firstLine="709"/>
        <w:jc w:val="both"/>
        <w:rPr>
          <w:rFonts w:ascii="Times New Roman" w:hAnsi="Times New Roman" w:cs="Times New Roman"/>
          <w:kern w:val="0"/>
          <w:sz w:val="28"/>
          <w:szCs w:val="28"/>
          <w14:ligatures w14:val="none"/>
        </w:rPr>
      </w:pPr>
      <w:r w:rsidRPr="00753ED5">
        <w:rPr>
          <w:rFonts w:ascii="Times New Roman"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8" w:name="n5262"/>
      <w:bookmarkEnd w:id="8"/>
      <w:r w:rsidRPr="00753ED5">
        <w:rPr>
          <w:rFonts w:ascii="Times New Roman" w:hAnsi="Times New Roman" w:cs="Times New Roman"/>
          <w:kern w:val="0"/>
          <w:sz w:val="28"/>
          <w:szCs w:val="28"/>
          <w14:ligatures w14:val="none"/>
        </w:rPr>
        <w:t xml:space="preserve"> представництво інтересів держави в суді у виключних випадках і в порядку, що визначені законом.</w:t>
      </w:r>
      <w:bookmarkStart w:id="9" w:name="n5263"/>
      <w:bookmarkEnd w:id="9"/>
    </w:p>
    <w:p w14:paraId="089A8FFD" w14:textId="77777777" w:rsidR="00753ED5" w:rsidRPr="00753ED5" w:rsidRDefault="00753ED5" w:rsidP="00753ED5">
      <w:pPr>
        <w:spacing w:after="0" w:line="240" w:lineRule="auto"/>
        <w:ind w:firstLine="709"/>
        <w:jc w:val="both"/>
        <w:rPr>
          <w:rFonts w:ascii="Times New Roman" w:hAnsi="Times New Roman" w:cs="Times New Roman"/>
          <w:kern w:val="0"/>
          <w:sz w:val="28"/>
          <w:szCs w:val="28"/>
          <w14:ligatures w14:val="none"/>
        </w:rPr>
      </w:pPr>
      <w:r w:rsidRPr="00753ED5">
        <w:rPr>
          <w:rFonts w:ascii="Times New Roman" w:hAnsi="Times New Roman" w:cs="Times New Roman"/>
          <w:kern w:val="0"/>
          <w:sz w:val="28"/>
          <w:szCs w:val="28"/>
          <w14:ligatures w14:val="none"/>
        </w:rPr>
        <w:t>Організація та порядок діяльності прокуратури визначаються законом.</w:t>
      </w:r>
    </w:p>
    <w:p w14:paraId="2C929F99"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Однією із засад діяльності прокуратури, як то визначено у статті 3 Закону № 1697-VII, є незалежність прокурорів. </w:t>
      </w:r>
    </w:p>
    <w:p w14:paraId="10017D63"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2433F969"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78F3FEB1" w14:textId="77777777" w:rsidR="00753ED5" w:rsidRPr="00753ED5" w:rsidRDefault="00753ED5" w:rsidP="00753ED5">
      <w:pPr>
        <w:spacing w:after="0" w:line="240" w:lineRule="auto"/>
        <w:ind w:firstLine="709"/>
        <w:jc w:val="both"/>
        <w:rPr>
          <w:rFonts w:ascii="Times New Roman" w:hAnsi="Times New Roman"/>
          <w:bCs/>
          <w:kern w:val="0"/>
          <w:sz w:val="28"/>
          <w:szCs w:val="28"/>
          <w14:ligatures w14:val="none"/>
        </w:rPr>
      </w:pPr>
      <w:r w:rsidRPr="00753ED5">
        <w:rPr>
          <w:rFonts w:ascii="Times New Roman" w:hAnsi="Times New Roman"/>
          <w:bCs/>
          <w:kern w:val="0"/>
          <w:sz w:val="28"/>
          <w:szCs w:val="28"/>
          <w14:ligatures w14:val="none"/>
        </w:rPr>
        <w:lastRenderedPageBreak/>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37ECC6E" w14:textId="77777777" w:rsidR="00753ED5" w:rsidRPr="00753ED5" w:rsidRDefault="00753ED5" w:rsidP="00753ED5">
      <w:pPr>
        <w:spacing w:after="0" w:line="240" w:lineRule="auto"/>
        <w:ind w:firstLine="709"/>
        <w:jc w:val="both"/>
        <w:rPr>
          <w:rFonts w:ascii="Times New Roman" w:hAnsi="Times New Roman"/>
          <w:bCs/>
          <w:kern w:val="0"/>
          <w:sz w:val="28"/>
          <w:szCs w:val="28"/>
          <w14:ligatures w14:val="none"/>
        </w:rPr>
      </w:pPr>
      <w:r w:rsidRPr="00753ED5">
        <w:rPr>
          <w:rFonts w:ascii="Times New Roman" w:hAnsi="Times New Roman"/>
          <w:bCs/>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27562D0"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C5CB103"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2AFF85DA"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7BEB3CB"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A04440B"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0B336E8"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2) дисциплінарна скарга є анонімною;</w:t>
      </w:r>
    </w:p>
    <w:p w14:paraId="264E451D"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23BE337E"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52CA26F7"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045A26E"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75217C"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7A9295D8"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648B6CCA" w14:textId="77777777" w:rsidR="00753ED5" w:rsidRPr="00753ED5" w:rsidRDefault="00753ED5" w:rsidP="00753ED5">
      <w:pPr>
        <w:spacing w:before="120" w:after="120" w:line="240" w:lineRule="auto"/>
        <w:ind w:firstLine="709"/>
        <w:jc w:val="both"/>
        <w:rPr>
          <w:rFonts w:ascii="Times New Roman" w:eastAsia="Calibri" w:hAnsi="Times New Roman" w:cs="Times New Roman"/>
          <w:b/>
          <w:bCs/>
          <w:kern w:val="0"/>
          <w:sz w:val="28"/>
          <w:szCs w:val="28"/>
          <w14:ligatures w14:val="none"/>
        </w:rPr>
      </w:pPr>
      <w:r w:rsidRPr="00753ED5">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53D95BD2" w14:textId="2BE27D82"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прокурора Романця Ю.М. вчинених (допущених) під здійснення кримінального провадження стосовно </w:t>
      </w:r>
      <w:r w:rsidR="00673387">
        <w:rPr>
          <w:rFonts w:ascii="Times New Roman" w:eastAsia="Calibri" w:hAnsi="Times New Roman" w:cs="Times New Roman"/>
          <w:kern w:val="0"/>
          <w:sz w:val="28"/>
          <w:szCs w:val="28"/>
          <w14:ligatures w14:val="none"/>
        </w:rPr>
        <w:t>ОСОБА 1</w:t>
      </w:r>
      <w:r w:rsidRPr="00753ED5">
        <w:rPr>
          <w:rFonts w:ascii="Times New Roman" w:eastAsia="Calibri" w:hAnsi="Times New Roman" w:cs="Times New Roman"/>
          <w:kern w:val="0"/>
          <w:sz w:val="28"/>
          <w:szCs w:val="28"/>
          <w14:ligatures w14:val="none"/>
        </w:rPr>
        <w:t>.</w:t>
      </w:r>
    </w:p>
    <w:p w14:paraId="54A46A58"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У зв’язку з цим необхідно зауважити таке.</w:t>
      </w:r>
    </w:p>
    <w:p w14:paraId="429090C1"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F0E0D56"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w:t>
      </w:r>
      <w:r w:rsidRPr="00753ED5">
        <w:rPr>
          <w:rFonts w:ascii="Times New Roman" w:eastAsia="Calibri" w:hAnsi="Times New Roman" w:cs="Times New Roman"/>
          <w:kern w:val="0"/>
          <w:sz w:val="28"/>
          <w:szCs w:val="28"/>
          <w14:ligatures w14:val="none"/>
        </w:rPr>
        <w:lastRenderedPageBreak/>
        <w:t xml:space="preserve">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19227230"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59835C06"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1F6E420D"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3E8A777"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F6D69A7" w14:textId="2E5E9CCF" w:rsidR="00753ED5" w:rsidRPr="00753ED5" w:rsidRDefault="00753ED5" w:rsidP="00753ED5">
      <w:pPr>
        <w:spacing w:after="0" w:line="240" w:lineRule="auto"/>
        <w:ind w:firstLine="709"/>
        <w:jc w:val="both"/>
        <w:rPr>
          <w:rFonts w:ascii="Times New Roman" w:hAnsi="Times New Roman"/>
          <w:color w:val="000000"/>
          <w:kern w:val="0"/>
          <w:sz w:val="28"/>
          <w:szCs w:val="28"/>
          <w:lang w:eastAsia="uk-UA" w:bidi="uk-UA"/>
          <w14:ligatures w14:val="none"/>
        </w:rPr>
      </w:pPr>
      <w:r w:rsidRPr="00753ED5">
        <w:rPr>
          <w:rFonts w:ascii="Times New Roman" w:hAnsi="Times New Roman"/>
          <w:kern w:val="0"/>
          <w:sz w:val="28"/>
          <w:szCs w:val="28"/>
          <w14:ligatures w14:val="none"/>
        </w:rPr>
        <w:t xml:space="preserve">Окрім цього, член Комісії звертає увагу скаржника, </w:t>
      </w:r>
      <w:r w:rsidRPr="00753ED5">
        <w:rPr>
          <w:rFonts w:ascii="Times New Roman" w:hAnsi="Times New Roman"/>
          <w:color w:val="000000"/>
          <w:kern w:val="0"/>
          <w:sz w:val="28"/>
          <w:szCs w:val="28"/>
          <w:lang w:eastAsia="uk-UA" w:bidi="uk-UA"/>
          <w14:ligatures w14:val="none"/>
        </w:rPr>
        <w:t>що відповідно до статті</w:t>
      </w:r>
      <w:r w:rsidR="00673387">
        <w:rPr>
          <w:rFonts w:ascii="Times New Roman" w:hAnsi="Times New Roman"/>
          <w:color w:val="000000"/>
          <w:kern w:val="0"/>
          <w:sz w:val="28"/>
          <w:szCs w:val="28"/>
          <w:lang w:eastAsia="uk-UA" w:bidi="uk-UA"/>
          <w14:ligatures w14:val="none"/>
        </w:rPr>
        <w:t> </w:t>
      </w:r>
      <w:r w:rsidRPr="00753ED5">
        <w:rPr>
          <w:rFonts w:ascii="Times New Roman" w:hAnsi="Times New Roman"/>
          <w:color w:val="000000"/>
          <w:kern w:val="0"/>
          <w:sz w:val="28"/>
          <w:szCs w:val="28"/>
          <w:lang w:eastAsia="uk-UA" w:bidi="uk-UA"/>
          <w14:ligatures w14:val="none"/>
        </w:rPr>
        <w:t xml:space="preserve">26 КПК України сторони кримінального провадження є вільними у використанні своїх прав у межах та у спосіб, передбачених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537B1B4F" w14:textId="77777777" w:rsidR="00753ED5" w:rsidRPr="00753ED5" w:rsidRDefault="00753ED5" w:rsidP="00753ED5">
      <w:pPr>
        <w:spacing w:after="0" w:line="240" w:lineRule="auto"/>
        <w:ind w:firstLine="567"/>
        <w:jc w:val="both"/>
        <w:rPr>
          <w:rFonts w:ascii="Times New Roman" w:eastAsia="Calibri" w:hAnsi="Times New Roman" w:cs="Times New Roman"/>
          <w:color w:val="000000"/>
          <w:kern w:val="0"/>
          <w:sz w:val="28"/>
          <w:szCs w:val="28"/>
          <w:lang w:eastAsia="uk-UA" w:bidi="uk-UA"/>
          <w14:ligatures w14:val="none"/>
        </w:rPr>
      </w:pPr>
      <w:r w:rsidRPr="00753ED5">
        <w:rPr>
          <w:rFonts w:ascii="Times New Roman" w:eastAsia="Calibri" w:hAnsi="Times New Roman" w:cs="Times New Roman"/>
          <w:color w:val="000000"/>
          <w:kern w:val="0"/>
          <w:sz w:val="28"/>
          <w:szCs w:val="28"/>
          <w:lang w:eastAsia="uk-UA" w:bidi="uk-UA"/>
          <w14:ligatures w14:val="none"/>
        </w:rPr>
        <w:t xml:space="preserve">Відповідно до частини 1 статті 94 КПК України суд при розгляді справи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аргумент сторони з точки зору його обґрунтованості, кожний поданий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34D3986A" w14:textId="77777777" w:rsidR="00753ED5" w:rsidRPr="00753ED5" w:rsidRDefault="00753ED5" w:rsidP="00753ED5">
      <w:pPr>
        <w:spacing w:after="0" w:line="240" w:lineRule="auto"/>
        <w:ind w:firstLine="567"/>
        <w:jc w:val="both"/>
        <w:rPr>
          <w:rFonts w:ascii="Times New Roman" w:eastAsia="Calibri" w:hAnsi="Times New Roman" w:cs="Times New Roman"/>
          <w:color w:val="000000"/>
          <w:kern w:val="0"/>
          <w:sz w:val="28"/>
          <w:szCs w:val="28"/>
          <w:lang w:eastAsia="uk-UA" w:bidi="uk-UA"/>
          <w14:ligatures w14:val="none"/>
        </w:rPr>
      </w:pPr>
      <w:r w:rsidRPr="00753ED5">
        <w:rPr>
          <w:rFonts w:ascii="Times New Roman" w:eastAsia="Calibri" w:hAnsi="Times New Roman" w:cs="Times New Roman"/>
          <w:color w:val="000000"/>
          <w:kern w:val="0"/>
          <w:sz w:val="28"/>
          <w:szCs w:val="28"/>
          <w:lang w:eastAsia="uk-UA" w:bidi="uk-UA"/>
          <w14:ligatures w14:val="none"/>
        </w:rPr>
        <w:t xml:space="preserve">Прокурор відповідно до положень статті 291 КПК України при затвердженні / складанні обвинувального акта зобов’язаний у тому числі викласти фактичні обставини кримінального правопорушення, які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однак рішення за результатами розгляду кримінального провадження приймає виключно суд. </w:t>
      </w:r>
    </w:p>
    <w:p w14:paraId="348AF7DF"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253E5ED"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88C9C"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Судових рішень чи рішень прокурора вищого рівня про визнання неправомірними дій прокурора Романця Ю.М.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182742DF"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За таких обставин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353D24C7"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Слід зазначити,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w:t>
      </w:r>
    </w:p>
    <w:p w14:paraId="05B8AFE0"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193FE617"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Із наведених скаржником доводів не вбачається, що прокурором                        Романцем Ю.М. при здійсненні повноважень у кримінальному провадженні умисно чи внаслідок недбалості допущено істотне порушення норм кримінального процесуального закону.</w:t>
      </w:r>
    </w:p>
    <w:p w14:paraId="436ABF4C"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Водночас Комісія не є органом, який здійснює нагляд за додержанням законів під час здійснення кримінального провадження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71399043"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Зважаючи на викладене, твердження скаржника про невиконання чи   неналежне виконання прокурором Романцем Ю.М. службових обов’язків є суб’єктивним.</w:t>
      </w:r>
    </w:p>
    <w:p w14:paraId="48604962"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Романцем Ю.М. дій, що порочать звання прокурора і можуть </w:t>
      </w:r>
      <w:r w:rsidRPr="00753ED5">
        <w:rPr>
          <w:rFonts w:ascii="Times New Roman" w:eastAsia="Calibri" w:hAnsi="Times New Roman" w:cs="Times New Roman"/>
          <w:kern w:val="0"/>
          <w:sz w:val="28"/>
          <w:szCs w:val="28"/>
          <w14:ligatures w14:val="none"/>
        </w:rPr>
        <w:lastRenderedPageBreak/>
        <w:t>викликати сумнів у його об’єктивності, неупередженості та незалежності, у чесності та непідкупності органів прокуратури.</w:t>
      </w:r>
    </w:p>
    <w:p w14:paraId="30EC15EF"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6C1249CA"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14A5ADAA"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33042029"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405290B9"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3A86DC27"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Наведені у дисциплінарній скарзі дії прокурора Романця Ю.М.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62B8A0ED" w14:textId="5C6497EB"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Не аргументована жодними доводами й думка скаржника щодо вчинення прокурором Романцем Ю.М. дисциплінарного проступку, передбаченого пунктом 6 (систематичне (два і більше разів протягом одного року (або одноразове грубе порушення правил прокурорської етики) частини першої статті</w:t>
      </w:r>
      <w:r w:rsidR="00FF3E98">
        <w:rPr>
          <w:rFonts w:ascii="Times New Roman" w:eastAsia="Calibri" w:hAnsi="Times New Roman" w:cs="Times New Roman"/>
          <w:kern w:val="0"/>
          <w:sz w:val="28"/>
          <w:szCs w:val="28"/>
          <w14:ligatures w14:val="none"/>
        </w:rPr>
        <w:t> </w:t>
      </w:r>
      <w:r w:rsidRPr="00753ED5">
        <w:rPr>
          <w:rFonts w:ascii="Times New Roman" w:eastAsia="Calibri" w:hAnsi="Times New Roman" w:cs="Times New Roman"/>
          <w:kern w:val="0"/>
          <w:sz w:val="28"/>
          <w:szCs w:val="28"/>
          <w14:ligatures w14:val="none"/>
        </w:rPr>
        <w:t xml:space="preserve">43 Закону № 1697-VII. </w:t>
      </w:r>
    </w:p>
    <w:p w14:paraId="60029F5A"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5FA8382E"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14:paraId="5380198C" w14:textId="77777777" w:rsidR="00753ED5" w:rsidRPr="00753ED5" w:rsidRDefault="00753ED5" w:rsidP="00753ED5">
      <w:pPr>
        <w:spacing w:after="0" w:line="240" w:lineRule="auto"/>
        <w:ind w:firstLine="709"/>
        <w:jc w:val="both"/>
        <w:rPr>
          <w:rFonts w:ascii="Times New Roman" w:hAnsi="Times New Roman" w:cs="Times New Roman"/>
          <w:kern w:val="0"/>
          <w:sz w:val="28"/>
          <w:szCs w:val="28"/>
          <w14:ligatures w14:val="none"/>
        </w:rPr>
      </w:pPr>
      <w:r w:rsidRPr="00753ED5">
        <w:rPr>
          <w:rFonts w:ascii="Times New Roman"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Романцем Ю.М. </w:t>
      </w:r>
    </w:p>
    <w:p w14:paraId="7460EBB8"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r w:rsidRPr="00753ED5">
        <w:rPr>
          <w:rFonts w:ascii="Times New Roman" w:eastAsia="Calibri" w:hAnsi="Times New Roman" w:cs="Times New Roman"/>
          <w:kern w:val="0"/>
          <w:sz w:val="28"/>
          <w:szCs w:val="28"/>
          <w14:ligatures w14:val="none"/>
        </w:rPr>
        <w:t>Керуючись статтями 44 – 46 Закону № 1697-</w:t>
      </w:r>
      <w:r w:rsidRPr="00753ED5">
        <w:rPr>
          <w:rFonts w:ascii="Times New Roman" w:eastAsia="Calibri" w:hAnsi="Times New Roman" w:cs="Times New Roman"/>
          <w:kern w:val="0"/>
          <w:sz w:val="28"/>
          <w:szCs w:val="28"/>
          <w:lang w:val="en-US"/>
          <w14:ligatures w14:val="none"/>
        </w:rPr>
        <w:t>VII</w:t>
      </w:r>
      <w:r w:rsidRPr="00753ED5">
        <w:rPr>
          <w:rFonts w:ascii="Times New Roman" w:eastAsia="Calibri" w:hAnsi="Times New Roman" w:cs="Times New Roman"/>
          <w:kern w:val="0"/>
          <w:sz w:val="28"/>
          <w:szCs w:val="28"/>
          <w14:ligatures w14:val="none"/>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453FE635" w14:textId="77777777" w:rsidR="00753ED5" w:rsidRPr="00753ED5" w:rsidRDefault="00753ED5" w:rsidP="00753ED5">
      <w:pPr>
        <w:spacing w:after="0" w:line="240" w:lineRule="auto"/>
        <w:ind w:firstLine="709"/>
        <w:jc w:val="both"/>
        <w:rPr>
          <w:rFonts w:ascii="Times New Roman" w:eastAsia="Calibri" w:hAnsi="Times New Roman" w:cs="Times New Roman"/>
          <w:kern w:val="0"/>
          <w:sz w:val="28"/>
          <w:szCs w:val="28"/>
          <w14:ligatures w14:val="none"/>
        </w:rPr>
      </w:pPr>
    </w:p>
    <w:p w14:paraId="3F6F5C8A" w14:textId="77777777" w:rsidR="00753ED5" w:rsidRPr="00753ED5" w:rsidRDefault="00753ED5" w:rsidP="00753ED5">
      <w:pPr>
        <w:spacing w:before="240" w:after="240" w:line="240" w:lineRule="auto"/>
        <w:jc w:val="center"/>
        <w:rPr>
          <w:rFonts w:ascii="Times New Roman" w:hAnsi="Times New Roman" w:cs="Times New Roman"/>
          <w:b/>
          <w:bCs/>
          <w:kern w:val="0"/>
          <w:sz w:val="28"/>
          <w:szCs w:val="28"/>
          <w:lang w:eastAsia="ru-RU"/>
          <w14:ligatures w14:val="none"/>
        </w:rPr>
      </w:pPr>
      <w:r w:rsidRPr="00753ED5">
        <w:rPr>
          <w:rFonts w:ascii="Times New Roman" w:hAnsi="Times New Roman" w:cs="Times New Roman"/>
          <w:b/>
          <w:bCs/>
          <w:kern w:val="0"/>
          <w:sz w:val="28"/>
          <w:szCs w:val="28"/>
          <w:lang w:eastAsia="ru-RU"/>
          <w14:ligatures w14:val="none"/>
        </w:rPr>
        <w:lastRenderedPageBreak/>
        <w:t>В И Р І Ш И Л А:</w:t>
      </w:r>
    </w:p>
    <w:p w14:paraId="2E3DF971" w14:textId="77777777"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Романця Ю.М. </w:t>
      </w:r>
    </w:p>
    <w:p w14:paraId="1A973FB1" w14:textId="77777777" w:rsidR="00753ED5" w:rsidRPr="00753ED5" w:rsidRDefault="00753ED5" w:rsidP="00753ED5">
      <w:pPr>
        <w:spacing w:before="120" w:after="0" w:line="240" w:lineRule="auto"/>
        <w:ind w:firstLine="709"/>
        <w:jc w:val="both"/>
        <w:rPr>
          <w:rFonts w:ascii="Times New Roman" w:hAnsi="Times New Roman" w:cs="Times New Roman"/>
          <w:kern w:val="0"/>
          <w:sz w:val="28"/>
          <w:szCs w:val="28"/>
          <w:lang w:eastAsia="ru-RU"/>
          <w14:ligatures w14:val="none"/>
        </w:rPr>
      </w:pPr>
      <w:r w:rsidRPr="00753ED5">
        <w:rPr>
          <w:rFonts w:ascii="Times New Roman" w:hAnsi="Times New Roman" w:cs="Times New Roman"/>
          <w:kern w:val="0"/>
          <w:sz w:val="28"/>
          <w:szCs w:val="28"/>
          <w:lang w:eastAsia="ru-RU"/>
          <w14:ligatures w14:val="none"/>
        </w:rPr>
        <w:t>Рішення направити скаржнику та прокурору.</w:t>
      </w:r>
    </w:p>
    <w:p w14:paraId="37732266" w14:textId="77777777" w:rsidR="00753ED5" w:rsidRPr="00753ED5" w:rsidRDefault="00753ED5" w:rsidP="00753ED5">
      <w:pPr>
        <w:spacing w:after="0" w:line="240" w:lineRule="auto"/>
        <w:ind w:firstLine="709"/>
        <w:jc w:val="both"/>
        <w:rPr>
          <w:rFonts w:ascii="Times New Roman" w:hAnsi="Times New Roman" w:cs="Times New Roman"/>
          <w:kern w:val="0"/>
          <w:sz w:val="28"/>
          <w:szCs w:val="28"/>
          <w:lang w:eastAsia="ru-RU"/>
          <w14:ligatures w14:val="none"/>
        </w:rPr>
      </w:pPr>
    </w:p>
    <w:p w14:paraId="56FB6644" w14:textId="77777777" w:rsidR="00753ED5" w:rsidRPr="00753ED5" w:rsidRDefault="00753ED5" w:rsidP="00753ED5">
      <w:pPr>
        <w:spacing w:after="0" w:line="240" w:lineRule="auto"/>
        <w:jc w:val="both"/>
        <w:rPr>
          <w:rFonts w:ascii="Times New Roman" w:hAnsi="Times New Roman" w:cs="Times New Roman"/>
          <w:b/>
          <w:bCs/>
          <w:kern w:val="0"/>
          <w:sz w:val="28"/>
          <w:szCs w:val="28"/>
          <w:lang w:eastAsia="ru-RU"/>
          <w14:ligatures w14:val="none"/>
        </w:rPr>
      </w:pPr>
      <w:r w:rsidRPr="00753ED5">
        <w:rPr>
          <w:rFonts w:ascii="Times New Roman" w:hAnsi="Times New Roman" w:cs="Times New Roman"/>
          <w:b/>
          <w:bCs/>
          <w:kern w:val="0"/>
          <w:sz w:val="28"/>
          <w:szCs w:val="28"/>
          <w:lang w:eastAsia="ru-RU"/>
          <w14:ligatures w14:val="none"/>
        </w:rPr>
        <w:t xml:space="preserve">Член Кваліфікаційно-дисциплінарної </w:t>
      </w:r>
    </w:p>
    <w:p w14:paraId="058F15EC" w14:textId="77777777" w:rsidR="00753ED5" w:rsidRPr="00753ED5" w:rsidRDefault="00753ED5" w:rsidP="00753ED5">
      <w:pPr>
        <w:spacing w:after="0" w:line="240" w:lineRule="auto"/>
        <w:jc w:val="both"/>
        <w:rPr>
          <w:rFonts w:ascii="Times New Roman" w:hAnsi="Times New Roman" w:cs="Times New Roman"/>
          <w:b/>
          <w:bCs/>
          <w:kern w:val="0"/>
          <w:sz w:val="28"/>
          <w:szCs w:val="28"/>
          <w14:ligatures w14:val="none"/>
        </w:rPr>
      </w:pPr>
      <w:r w:rsidRPr="00753ED5">
        <w:rPr>
          <w:rFonts w:ascii="Times New Roman" w:hAnsi="Times New Roman" w:cs="Times New Roman"/>
          <w:b/>
          <w:bCs/>
          <w:kern w:val="0"/>
          <w:sz w:val="28"/>
          <w:szCs w:val="28"/>
          <w:lang w:eastAsia="ru-RU"/>
          <w14:ligatures w14:val="none"/>
        </w:rPr>
        <w:t xml:space="preserve">комісії прокурорів </w:t>
      </w:r>
      <w:r w:rsidRPr="00753ED5">
        <w:rPr>
          <w:rFonts w:ascii="Times New Roman" w:hAnsi="Times New Roman" w:cs="Times New Roman"/>
          <w:b/>
          <w:bCs/>
          <w:kern w:val="0"/>
          <w:sz w:val="28"/>
          <w:szCs w:val="28"/>
          <w:lang w:eastAsia="ru-RU"/>
          <w14:ligatures w14:val="none"/>
        </w:rPr>
        <w:tab/>
      </w:r>
      <w:r w:rsidRPr="00753ED5">
        <w:rPr>
          <w:rFonts w:ascii="Times New Roman" w:hAnsi="Times New Roman" w:cs="Times New Roman"/>
          <w:b/>
          <w:bCs/>
          <w:kern w:val="0"/>
          <w:sz w:val="28"/>
          <w:szCs w:val="28"/>
          <w:lang w:eastAsia="ru-RU"/>
          <w14:ligatures w14:val="none"/>
        </w:rPr>
        <w:tab/>
      </w:r>
      <w:r w:rsidRPr="00753ED5">
        <w:rPr>
          <w:rFonts w:ascii="Times New Roman" w:hAnsi="Times New Roman" w:cs="Times New Roman"/>
          <w:b/>
          <w:bCs/>
          <w:kern w:val="0"/>
          <w:sz w:val="28"/>
          <w:szCs w:val="28"/>
          <w:lang w:eastAsia="ru-RU"/>
          <w14:ligatures w14:val="none"/>
        </w:rPr>
        <w:tab/>
      </w:r>
      <w:r w:rsidRPr="00753ED5">
        <w:rPr>
          <w:rFonts w:ascii="Times New Roman" w:hAnsi="Times New Roman" w:cs="Times New Roman"/>
          <w:b/>
          <w:bCs/>
          <w:kern w:val="0"/>
          <w:sz w:val="28"/>
          <w:szCs w:val="28"/>
          <w:lang w:eastAsia="ru-RU"/>
          <w14:ligatures w14:val="none"/>
        </w:rPr>
        <w:tab/>
      </w:r>
      <w:r w:rsidRPr="00753ED5">
        <w:rPr>
          <w:rFonts w:ascii="Times New Roman" w:hAnsi="Times New Roman" w:cs="Times New Roman"/>
          <w:b/>
          <w:bCs/>
          <w:kern w:val="0"/>
          <w:sz w:val="28"/>
          <w:szCs w:val="28"/>
          <w:lang w:eastAsia="ru-RU"/>
          <w14:ligatures w14:val="none"/>
        </w:rPr>
        <w:tab/>
        <w:t xml:space="preserve">                          Ніна ГАРБУЗА</w:t>
      </w:r>
    </w:p>
    <w:p w14:paraId="5D48C2B1" w14:textId="77777777" w:rsidR="00753ED5" w:rsidRPr="00753ED5" w:rsidRDefault="00753ED5" w:rsidP="00753ED5">
      <w:pPr>
        <w:spacing w:after="0" w:line="240" w:lineRule="auto"/>
        <w:ind w:firstLine="709"/>
        <w:jc w:val="both"/>
        <w:rPr>
          <w:rFonts w:ascii="Times New Roman" w:hAnsi="Times New Roman" w:cs="Times New Roman"/>
          <w:b/>
          <w:bCs/>
          <w:kern w:val="0"/>
          <w:sz w:val="28"/>
          <w:szCs w:val="28"/>
          <w14:ligatures w14:val="none"/>
        </w:rPr>
      </w:pPr>
    </w:p>
    <w:p w14:paraId="4B61F6D6" w14:textId="77777777" w:rsidR="00753ED5" w:rsidRPr="00753ED5" w:rsidRDefault="00753ED5" w:rsidP="00753ED5">
      <w:pPr>
        <w:spacing w:line="259" w:lineRule="auto"/>
        <w:rPr>
          <w:kern w:val="0"/>
          <w:sz w:val="22"/>
          <w:szCs w:val="22"/>
          <w14:ligatures w14:val="none"/>
        </w:rPr>
      </w:pPr>
    </w:p>
    <w:p w14:paraId="7AFF2291" w14:textId="77777777" w:rsidR="00A56FA2" w:rsidRDefault="00A56FA2"/>
    <w:sectPr w:rsidR="00A56FA2" w:rsidSect="00753ED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A23C" w14:textId="77777777" w:rsidR="00270DCD" w:rsidRDefault="00270DCD">
      <w:pPr>
        <w:spacing w:after="0" w:line="240" w:lineRule="auto"/>
      </w:pPr>
      <w:r>
        <w:separator/>
      </w:r>
    </w:p>
  </w:endnote>
  <w:endnote w:type="continuationSeparator" w:id="0">
    <w:p w14:paraId="163DA2A7" w14:textId="77777777" w:rsidR="00270DCD" w:rsidRDefault="0027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E527" w14:textId="77777777" w:rsidR="00270DCD" w:rsidRDefault="00270DCD">
      <w:pPr>
        <w:spacing w:after="0" w:line="240" w:lineRule="auto"/>
      </w:pPr>
      <w:r>
        <w:separator/>
      </w:r>
    </w:p>
  </w:footnote>
  <w:footnote w:type="continuationSeparator" w:id="0">
    <w:p w14:paraId="59D44DC9" w14:textId="77777777" w:rsidR="00270DCD" w:rsidRDefault="0027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936892"/>
      <w:docPartObj>
        <w:docPartGallery w:val="Page Numbers (Top of Page)"/>
        <w:docPartUnique/>
      </w:docPartObj>
    </w:sdtPr>
    <w:sdtContent>
      <w:p w14:paraId="2C5A9BF7" w14:textId="77777777" w:rsidR="00753ED5" w:rsidRDefault="00753ED5">
        <w:pPr>
          <w:pStyle w:val="ae"/>
          <w:jc w:val="center"/>
        </w:pPr>
        <w:r>
          <w:fldChar w:fldCharType="begin"/>
        </w:r>
        <w:r>
          <w:instrText>PAGE   \* MERGEFORMAT</w:instrText>
        </w:r>
        <w:r>
          <w:fldChar w:fldCharType="separate"/>
        </w:r>
        <w:r>
          <w:t>2</w:t>
        </w:r>
        <w:r>
          <w:fldChar w:fldCharType="end"/>
        </w:r>
      </w:p>
    </w:sdtContent>
  </w:sdt>
  <w:p w14:paraId="2B1E186A" w14:textId="77777777" w:rsidR="00753ED5" w:rsidRDefault="00753ED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D5"/>
    <w:rsid w:val="00160A09"/>
    <w:rsid w:val="00270DCD"/>
    <w:rsid w:val="00673387"/>
    <w:rsid w:val="006A4CC2"/>
    <w:rsid w:val="00753ED5"/>
    <w:rsid w:val="007D372C"/>
    <w:rsid w:val="00A56FA2"/>
    <w:rsid w:val="00E6611E"/>
    <w:rsid w:val="00FF3E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4F5C"/>
  <w15:chartTrackingRefBased/>
  <w15:docId w15:val="{FE426A9D-937F-4AF0-BFE2-B4AB1239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3E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3E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3E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3E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3E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3E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3E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E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3E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3E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3E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3E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3E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3ED5"/>
    <w:rPr>
      <w:rFonts w:eastAsiaTheme="majorEastAsia" w:cstheme="majorBidi"/>
      <w:color w:val="595959" w:themeColor="text1" w:themeTint="A6"/>
    </w:rPr>
  </w:style>
  <w:style w:type="character" w:customStyle="1" w:styleId="80">
    <w:name w:val="Заголовок 8 Знак"/>
    <w:basedOn w:val="a0"/>
    <w:link w:val="8"/>
    <w:uiPriority w:val="9"/>
    <w:semiHidden/>
    <w:rsid w:val="00753E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3ED5"/>
    <w:rPr>
      <w:rFonts w:eastAsiaTheme="majorEastAsia" w:cstheme="majorBidi"/>
      <w:color w:val="272727" w:themeColor="text1" w:themeTint="D8"/>
    </w:rPr>
  </w:style>
  <w:style w:type="paragraph" w:styleId="a3">
    <w:name w:val="Title"/>
    <w:basedOn w:val="a"/>
    <w:next w:val="a"/>
    <w:link w:val="a4"/>
    <w:uiPriority w:val="10"/>
    <w:qFormat/>
    <w:rsid w:val="0075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53E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E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53E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53ED5"/>
    <w:pPr>
      <w:spacing w:before="160"/>
      <w:jc w:val="center"/>
    </w:pPr>
    <w:rPr>
      <w:i/>
      <w:iCs/>
      <w:color w:val="404040" w:themeColor="text1" w:themeTint="BF"/>
    </w:rPr>
  </w:style>
  <w:style w:type="character" w:customStyle="1" w:styleId="a8">
    <w:name w:val="Цитата Знак"/>
    <w:basedOn w:val="a0"/>
    <w:link w:val="a7"/>
    <w:uiPriority w:val="29"/>
    <w:rsid w:val="00753ED5"/>
    <w:rPr>
      <w:i/>
      <w:iCs/>
      <w:color w:val="404040" w:themeColor="text1" w:themeTint="BF"/>
    </w:rPr>
  </w:style>
  <w:style w:type="paragraph" w:styleId="a9">
    <w:name w:val="List Paragraph"/>
    <w:basedOn w:val="a"/>
    <w:uiPriority w:val="34"/>
    <w:qFormat/>
    <w:rsid w:val="00753ED5"/>
    <w:pPr>
      <w:ind w:left="720"/>
      <w:contextualSpacing/>
    </w:pPr>
  </w:style>
  <w:style w:type="character" w:styleId="aa">
    <w:name w:val="Intense Emphasis"/>
    <w:basedOn w:val="a0"/>
    <w:uiPriority w:val="21"/>
    <w:qFormat/>
    <w:rsid w:val="00753ED5"/>
    <w:rPr>
      <w:i/>
      <w:iCs/>
      <w:color w:val="0F4761" w:themeColor="accent1" w:themeShade="BF"/>
    </w:rPr>
  </w:style>
  <w:style w:type="paragraph" w:styleId="ab">
    <w:name w:val="Intense Quote"/>
    <w:basedOn w:val="a"/>
    <w:next w:val="a"/>
    <w:link w:val="ac"/>
    <w:uiPriority w:val="30"/>
    <w:qFormat/>
    <w:rsid w:val="0075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53ED5"/>
    <w:rPr>
      <w:i/>
      <w:iCs/>
      <w:color w:val="0F4761" w:themeColor="accent1" w:themeShade="BF"/>
    </w:rPr>
  </w:style>
  <w:style w:type="character" w:styleId="ad">
    <w:name w:val="Intense Reference"/>
    <w:basedOn w:val="a0"/>
    <w:uiPriority w:val="32"/>
    <w:qFormat/>
    <w:rsid w:val="00753ED5"/>
    <w:rPr>
      <w:b/>
      <w:bCs/>
      <w:smallCaps/>
      <w:color w:val="0F4761" w:themeColor="accent1" w:themeShade="BF"/>
      <w:spacing w:val="5"/>
    </w:rPr>
  </w:style>
  <w:style w:type="paragraph" w:styleId="ae">
    <w:name w:val="header"/>
    <w:basedOn w:val="a"/>
    <w:link w:val="af"/>
    <w:uiPriority w:val="99"/>
    <w:unhideWhenUsed/>
    <w:rsid w:val="00753ED5"/>
    <w:pPr>
      <w:tabs>
        <w:tab w:val="center" w:pos="4819"/>
        <w:tab w:val="right" w:pos="9639"/>
      </w:tabs>
      <w:spacing w:after="0" w:line="240" w:lineRule="auto"/>
    </w:pPr>
    <w:rPr>
      <w:kern w:val="0"/>
      <w:sz w:val="22"/>
      <w:szCs w:val="22"/>
      <w14:ligatures w14:val="none"/>
    </w:rPr>
  </w:style>
  <w:style w:type="character" w:customStyle="1" w:styleId="af">
    <w:name w:val="Верхній колонтитул Знак"/>
    <w:basedOn w:val="a0"/>
    <w:link w:val="ae"/>
    <w:uiPriority w:val="99"/>
    <w:rsid w:val="00753ED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14000</Words>
  <Characters>7981</Characters>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2026-05-07T15:03:00Z</dcterms:created>
  <dcterms:modified xsi:type="dcterms:W3CDTF">2026-05-08T05:12:00Z</dcterms:modified>
</cp:coreProperties>
</file>