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79FF" w14:textId="77777777" w:rsidR="00470C2C" w:rsidRDefault="00470C2C" w:rsidP="00470C2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p>
    <w:p w14:paraId="1DA21596" w14:textId="77777777" w:rsidR="00470C2C" w:rsidRPr="007E0F45" w:rsidRDefault="00470C2C" w:rsidP="00470C2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299ED531" wp14:editId="4D6594AA">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6E22EF56" w14:textId="77777777" w:rsidR="00470C2C" w:rsidRPr="007E0F45" w:rsidRDefault="00470C2C" w:rsidP="00470C2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4D4499E5" w14:textId="77777777" w:rsidR="00470C2C" w:rsidRPr="007E0F45" w:rsidRDefault="00470C2C" w:rsidP="00470C2C">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5BD0D682" w14:textId="77777777" w:rsidR="00470C2C" w:rsidRDefault="00470C2C" w:rsidP="00470C2C">
      <w:pPr>
        <w:spacing w:after="0" w:line="240" w:lineRule="auto"/>
        <w:rPr>
          <w:rFonts w:ascii="Times New Roman" w:eastAsia="Times New Roman" w:hAnsi="Times New Roman"/>
          <w:color w:val="000000" w:themeColor="text1"/>
          <w:kern w:val="28"/>
          <w:sz w:val="28"/>
          <w:szCs w:val="28"/>
          <w:lang w:eastAsia="uk-UA"/>
        </w:rPr>
      </w:pPr>
    </w:p>
    <w:p w14:paraId="75C21DC7" w14:textId="77777777" w:rsidR="00470C2C" w:rsidRPr="007E0F45" w:rsidRDefault="00470C2C" w:rsidP="00470C2C">
      <w:pPr>
        <w:spacing w:after="0" w:line="240" w:lineRule="auto"/>
        <w:rPr>
          <w:rFonts w:ascii="Times New Roman" w:eastAsia="Times New Roman" w:hAnsi="Times New Roman"/>
          <w:color w:val="000000" w:themeColor="text1"/>
          <w:kern w:val="28"/>
          <w:sz w:val="28"/>
          <w:szCs w:val="28"/>
          <w:lang w:eastAsia="uk-UA"/>
        </w:rPr>
      </w:pPr>
    </w:p>
    <w:p w14:paraId="32FD525B" w14:textId="77777777" w:rsidR="00470C2C" w:rsidRPr="007E0F45" w:rsidRDefault="00470C2C" w:rsidP="00470C2C">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3B4D38A9" w14:textId="77777777" w:rsidR="00470C2C" w:rsidRDefault="00470C2C" w:rsidP="00470C2C">
      <w:pPr>
        <w:spacing w:after="0" w:line="240" w:lineRule="auto"/>
        <w:ind w:left="84"/>
        <w:jc w:val="center"/>
        <w:rPr>
          <w:rFonts w:ascii="Times New Roman" w:eastAsia="Times New Roman" w:hAnsi="Times New Roman"/>
          <w:b/>
          <w:color w:val="000000" w:themeColor="text1"/>
          <w:kern w:val="28"/>
          <w:sz w:val="28"/>
          <w:szCs w:val="28"/>
          <w:lang w:eastAsia="uk-UA"/>
        </w:rPr>
      </w:pPr>
    </w:p>
    <w:p w14:paraId="1C838FCD" w14:textId="77777777" w:rsidR="00470C2C" w:rsidRPr="007E0F45" w:rsidRDefault="00470C2C" w:rsidP="00470C2C">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470C2C" w:rsidRPr="007E0F45" w14:paraId="5E6B9773" w14:textId="77777777" w:rsidTr="00884093">
        <w:trPr>
          <w:trHeight w:val="460"/>
        </w:trPr>
        <w:tc>
          <w:tcPr>
            <w:tcW w:w="1765" w:type="pct"/>
            <w:hideMark/>
          </w:tcPr>
          <w:p w14:paraId="7E306E3B" w14:textId="77777777" w:rsidR="00470C2C" w:rsidRPr="007E0F45" w:rsidRDefault="00470C2C" w:rsidP="00884093">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 xml:space="preserve">07 квітня </w:t>
            </w:r>
            <w:r w:rsidRPr="00E47DB2">
              <w:rPr>
                <w:rFonts w:ascii="Times New Roman" w:eastAsia="Times New Roman" w:hAnsi="Times New Roman"/>
                <w:b/>
                <w:color w:val="000000" w:themeColor="text1"/>
                <w:kern w:val="2"/>
                <w:sz w:val="28"/>
                <w:szCs w:val="24"/>
                <w:lang w:eastAsia="ru-RU"/>
                <w14:ligatures w14:val="standardContextual"/>
              </w:rPr>
              <w:t>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2301C792" w14:textId="77777777" w:rsidR="00470C2C" w:rsidRPr="007E0F45" w:rsidRDefault="00470C2C" w:rsidP="00884093">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1651E284" w14:textId="77777777" w:rsidR="00470C2C" w:rsidRPr="007E0F45" w:rsidRDefault="00470C2C" w:rsidP="00884093">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283</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609E0B24" w14:textId="77777777" w:rsidR="00470C2C" w:rsidRPr="007E0F45" w:rsidRDefault="00470C2C" w:rsidP="00470C2C">
      <w:pPr>
        <w:widowControl w:val="0"/>
        <w:spacing w:line="240" w:lineRule="auto"/>
        <w:contextualSpacing/>
        <w:rPr>
          <w:rFonts w:ascii="Times New Roman" w:hAnsi="Times New Roman"/>
          <w:b/>
          <w:noProof/>
          <w:color w:val="000000" w:themeColor="text1"/>
          <w:sz w:val="28"/>
          <w:szCs w:val="28"/>
          <w:lang w:eastAsia="uk-UA"/>
        </w:rPr>
      </w:pPr>
    </w:p>
    <w:p w14:paraId="2A1E414A" w14:textId="77777777" w:rsidR="00470C2C" w:rsidRPr="007E0F45" w:rsidRDefault="00470C2C" w:rsidP="00470C2C">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65BB8C39" w14:textId="77777777" w:rsidR="00470C2C" w:rsidRPr="007E0F45" w:rsidRDefault="00470C2C" w:rsidP="00470C2C">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66FF4677" w14:textId="77777777" w:rsidR="00470C2C" w:rsidRPr="007E0F45" w:rsidRDefault="00470C2C" w:rsidP="00470C2C">
      <w:pPr>
        <w:widowControl w:val="0"/>
        <w:spacing w:line="240" w:lineRule="auto"/>
        <w:contextualSpacing/>
        <w:rPr>
          <w:rFonts w:ascii="Times New Roman" w:hAnsi="Times New Roman"/>
          <w:b/>
          <w:noProof/>
          <w:color w:val="000000" w:themeColor="text1"/>
          <w:sz w:val="28"/>
          <w:szCs w:val="28"/>
          <w:lang w:eastAsia="uk-UA"/>
        </w:rPr>
      </w:pPr>
    </w:p>
    <w:p w14:paraId="6A3F2250" w14:textId="367B21BA" w:rsidR="00470C2C" w:rsidRDefault="00470C2C" w:rsidP="00470C2C">
      <w:pPr>
        <w:pStyle w:val="ae"/>
        <w:widowControl w:val="0"/>
        <w:tabs>
          <w:tab w:val="left" w:pos="993"/>
        </w:tabs>
        <w:ind w:firstLine="567"/>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rPr>
        <w:t xml:space="preserve">адвоката </w:t>
      </w:r>
      <w:r>
        <w:rPr>
          <w:rFonts w:ascii="Times New Roman" w:hAnsi="Times New Roman"/>
          <w:sz w:val="28"/>
          <w:szCs w:val="28"/>
        </w:rPr>
        <w:t>ОСОБА_1</w:t>
      </w:r>
      <w:r>
        <w:rPr>
          <w:rFonts w:ascii="Times New Roman" w:hAnsi="Times New Roman"/>
          <w:sz w:val="28"/>
          <w:szCs w:val="28"/>
        </w:rPr>
        <w:t xml:space="preserve"> (далі- ОСОБА_1., скаржник)</w:t>
      </w:r>
      <w:r w:rsidRPr="00367C65">
        <w:rPr>
          <w:rFonts w:ascii="Times New Roman" w:hAnsi="Times New Roman"/>
          <w:sz w:val="28"/>
          <w:szCs w:val="28"/>
        </w:rPr>
        <w:t xml:space="preserve"> стосовно </w:t>
      </w:r>
      <w:r>
        <w:rPr>
          <w:rFonts w:ascii="Times New Roman" w:hAnsi="Times New Roman"/>
          <w:sz w:val="28"/>
          <w:szCs w:val="28"/>
        </w:rPr>
        <w:t xml:space="preserve">заступника керівника Одеської обласної прокуратури </w:t>
      </w:r>
      <w:proofErr w:type="spellStart"/>
      <w:r>
        <w:rPr>
          <w:rFonts w:ascii="Times New Roman" w:hAnsi="Times New Roman"/>
          <w:sz w:val="28"/>
          <w:szCs w:val="28"/>
        </w:rPr>
        <w:t>Мерімеріна</w:t>
      </w:r>
      <w:proofErr w:type="spellEnd"/>
      <w:r>
        <w:rPr>
          <w:rFonts w:ascii="Times New Roman" w:hAnsi="Times New Roman"/>
          <w:sz w:val="28"/>
          <w:szCs w:val="28"/>
        </w:rPr>
        <w:t xml:space="preserve"> Костянтина Геннадійовича (далі – </w:t>
      </w:r>
      <w:proofErr w:type="spellStart"/>
      <w:r>
        <w:rPr>
          <w:rFonts w:ascii="Times New Roman" w:hAnsi="Times New Roman"/>
          <w:sz w:val="28"/>
          <w:szCs w:val="28"/>
        </w:rPr>
        <w:t>Мерімерін</w:t>
      </w:r>
      <w:proofErr w:type="spellEnd"/>
      <w:r>
        <w:rPr>
          <w:rFonts w:ascii="Times New Roman" w:hAnsi="Times New Roman"/>
          <w:sz w:val="28"/>
          <w:szCs w:val="28"/>
        </w:rPr>
        <w:t xml:space="preserve"> К.Г.),  </w:t>
      </w:r>
    </w:p>
    <w:p w14:paraId="13144429" w14:textId="77777777" w:rsidR="00470C2C" w:rsidRPr="007E0F45" w:rsidRDefault="00470C2C" w:rsidP="00470C2C">
      <w:pPr>
        <w:pStyle w:val="ae"/>
        <w:widowControl w:val="0"/>
        <w:tabs>
          <w:tab w:val="left" w:pos="993"/>
        </w:tabs>
        <w:ind w:firstLine="567"/>
        <w:jc w:val="both"/>
        <w:rPr>
          <w:rFonts w:ascii="Times New Roman" w:hAnsi="Times New Roman"/>
          <w:color w:val="000000" w:themeColor="text1"/>
          <w:sz w:val="28"/>
          <w:szCs w:val="28"/>
        </w:rPr>
      </w:pPr>
    </w:p>
    <w:p w14:paraId="0B879E5B" w14:textId="77777777" w:rsidR="00470C2C" w:rsidRPr="007E0F45" w:rsidRDefault="00470C2C" w:rsidP="00470C2C">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6CD2CB25" w14:textId="77777777" w:rsidR="00470C2C" w:rsidRPr="00584575" w:rsidRDefault="00470C2C" w:rsidP="00470C2C">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6DC82C38" w14:textId="77777777" w:rsidR="00470C2C" w:rsidRPr="007E0F45" w:rsidRDefault="00470C2C" w:rsidP="00470C2C">
      <w:pPr>
        <w:widowControl w:val="0"/>
        <w:tabs>
          <w:tab w:val="left" w:pos="851"/>
          <w:tab w:val="left" w:pos="993"/>
        </w:tabs>
        <w:spacing w:after="0" w:line="240" w:lineRule="auto"/>
        <w:jc w:val="both"/>
        <w:rPr>
          <w:rFonts w:ascii="Times New Roman" w:hAnsi="Times New Roman"/>
          <w:b/>
          <w:color w:val="000000" w:themeColor="text1"/>
          <w:sz w:val="28"/>
          <w:szCs w:val="28"/>
        </w:rPr>
      </w:pPr>
    </w:p>
    <w:p w14:paraId="33556232" w14:textId="4FB87F37" w:rsidR="00470C2C" w:rsidRPr="007E0F45" w:rsidRDefault="00470C2C" w:rsidP="00470C2C">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sz w:val="28"/>
          <w:szCs w:val="28"/>
        </w:rPr>
        <w:t xml:space="preserve">ОСОБА_1 </w:t>
      </w:r>
      <w:r w:rsidRPr="007E0F45">
        <w:rPr>
          <w:rFonts w:ascii="Times New Roman" w:hAnsi="Times New Roman"/>
          <w:color w:val="000000" w:themeColor="text1"/>
          <w:sz w:val="28"/>
          <w:szCs w:val="28"/>
        </w:rPr>
        <w:t xml:space="preserve">про вчинення дисциплінарного проступку прокурором </w:t>
      </w:r>
      <w:r w:rsidRPr="006879FE">
        <w:rPr>
          <w:rFonts w:ascii="Times New Roman" w:hAnsi="Times New Roman"/>
          <w:color w:val="000000" w:themeColor="text1"/>
          <w:sz w:val="28"/>
          <w:szCs w:val="28"/>
        </w:rPr>
        <w:tab/>
      </w:r>
      <w:proofErr w:type="spellStart"/>
      <w:r>
        <w:rPr>
          <w:rFonts w:ascii="Times New Roman" w:hAnsi="Times New Roman"/>
          <w:sz w:val="28"/>
          <w:szCs w:val="28"/>
        </w:rPr>
        <w:t>Мерімеріном</w:t>
      </w:r>
      <w:proofErr w:type="spellEnd"/>
      <w:r>
        <w:rPr>
          <w:rFonts w:ascii="Times New Roman" w:hAnsi="Times New Roman"/>
          <w:sz w:val="28"/>
          <w:szCs w:val="28"/>
        </w:rPr>
        <w:t xml:space="preserve"> К.Г. </w:t>
      </w:r>
    </w:p>
    <w:p w14:paraId="6DA4E9C2" w14:textId="77777777" w:rsidR="00470C2C" w:rsidRPr="007E0F45" w:rsidRDefault="00470C2C" w:rsidP="00470C2C">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30 березня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6AA8B042" w14:textId="77777777" w:rsidR="00470C2C" w:rsidRPr="007E0F45" w:rsidRDefault="00470C2C" w:rsidP="00470C2C">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647ECCAF" w14:textId="50C84838" w:rsidR="00470C2C" w:rsidRDefault="00470C2C" w:rsidP="00470C2C">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6B3948">
        <w:rPr>
          <w:rFonts w:ascii="Times New Roman" w:hAnsi="Times New Roman"/>
          <w:color w:val="000000" w:themeColor="text1"/>
          <w:sz w:val="28"/>
          <w:szCs w:val="28"/>
        </w:rPr>
        <w:t xml:space="preserve">Адвокат </w:t>
      </w:r>
      <w:r>
        <w:rPr>
          <w:rFonts w:ascii="Times New Roman" w:hAnsi="Times New Roman"/>
          <w:sz w:val="28"/>
          <w:szCs w:val="28"/>
        </w:rPr>
        <w:t>ОСОБА_1</w:t>
      </w:r>
      <w:r w:rsidRPr="006B3948">
        <w:rPr>
          <w:rFonts w:ascii="Times New Roman" w:hAnsi="Times New Roman"/>
          <w:color w:val="000000" w:themeColor="text1"/>
          <w:sz w:val="28"/>
          <w:szCs w:val="28"/>
        </w:rPr>
        <w:t xml:space="preserve"> зазначає, що підставою для звернення </w:t>
      </w:r>
      <w:proofErr w:type="spellStart"/>
      <w:r w:rsidRPr="006B3948">
        <w:rPr>
          <w:rFonts w:ascii="Times New Roman" w:hAnsi="Times New Roman"/>
          <w:color w:val="000000" w:themeColor="text1"/>
          <w:sz w:val="28"/>
          <w:szCs w:val="28"/>
        </w:rPr>
        <w:t>Заєвого</w:t>
      </w:r>
      <w:proofErr w:type="spellEnd"/>
      <w:r w:rsidRPr="006B3948">
        <w:rPr>
          <w:rFonts w:ascii="Times New Roman" w:hAnsi="Times New Roman"/>
          <w:color w:val="000000" w:themeColor="text1"/>
          <w:sz w:val="28"/>
          <w:szCs w:val="28"/>
        </w:rPr>
        <w:t xml:space="preserve"> С.С. та Іванова В.В. до суду з позовом про відшкодування моральної шкоди, завданої незаконними діями органів досудового розслідування, прокуратури та суду, став виправдувальний вирок Іллічівського міського суду Одеської області від 28.02.2025, який набрав законної сили.</w:t>
      </w:r>
    </w:p>
    <w:p w14:paraId="6F7F4750" w14:textId="77777777" w:rsidR="00470C2C" w:rsidRDefault="00470C2C" w:rsidP="00470C2C">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2924AB">
        <w:rPr>
          <w:rFonts w:ascii="Times New Roman" w:hAnsi="Times New Roman"/>
          <w:color w:val="000000" w:themeColor="text1"/>
          <w:sz w:val="28"/>
          <w:szCs w:val="28"/>
        </w:rPr>
        <w:t>На думку</w:t>
      </w:r>
      <w:r>
        <w:rPr>
          <w:rFonts w:ascii="Times New Roman" w:hAnsi="Times New Roman"/>
          <w:color w:val="000000" w:themeColor="text1"/>
          <w:sz w:val="28"/>
          <w:szCs w:val="28"/>
        </w:rPr>
        <w:t xml:space="preserve"> скаржника</w:t>
      </w:r>
      <w:r w:rsidRPr="002924AB">
        <w:rPr>
          <w:rFonts w:ascii="Times New Roman" w:hAnsi="Times New Roman"/>
          <w:color w:val="000000" w:themeColor="text1"/>
          <w:sz w:val="28"/>
          <w:szCs w:val="28"/>
        </w:rPr>
        <w:t>, прокурор</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Мерімерін</w:t>
      </w:r>
      <w:proofErr w:type="spellEnd"/>
      <w:r>
        <w:rPr>
          <w:rFonts w:ascii="Times New Roman" w:hAnsi="Times New Roman"/>
          <w:color w:val="000000" w:themeColor="text1"/>
          <w:sz w:val="28"/>
          <w:szCs w:val="28"/>
        </w:rPr>
        <w:t xml:space="preserve"> К.Г.</w:t>
      </w:r>
      <w:r w:rsidRPr="002924AB">
        <w:rPr>
          <w:rFonts w:ascii="Times New Roman" w:hAnsi="Times New Roman"/>
          <w:color w:val="000000" w:themeColor="text1"/>
          <w:sz w:val="28"/>
          <w:szCs w:val="28"/>
        </w:rPr>
        <w:t xml:space="preserve">, подавши 26.03.2026 від імені Одеської обласної прокуратури відзив на позовну заяву, безпідставно виклав у ньому обставини кримінального провадження, навів зміст доказів обвинувачення, які суд визнав недопустимими, суперечливими та недостатніми для постановлення обвинувального </w:t>
      </w:r>
      <w:proofErr w:type="spellStart"/>
      <w:r w:rsidRPr="002924AB">
        <w:rPr>
          <w:rFonts w:ascii="Times New Roman" w:hAnsi="Times New Roman"/>
          <w:color w:val="000000" w:themeColor="text1"/>
          <w:sz w:val="28"/>
          <w:szCs w:val="28"/>
        </w:rPr>
        <w:t>вироку</w:t>
      </w:r>
      <w:proofErr w:type="spellEnd"/>
      <w:r w:rsidRPr="002924AB">
        <w:rPr>
          <w:rFonts w:ascii="Times New Roman" w:hAnsi="Times New Roman"/>
          <w:color w:val="000000" w:themeColor="text1"/>
          <w:sz w:val="28"/>
          <w:szCs w:val="28"/>
        </w:rPr>
        <w:t xml:space="preserve">, а також використав формулювання, </w:t>
      </w:r>
      <w:r w:rsidRPr="002924AB">
        <w:rPr>
          <w:rFonts w:ascii="Times New Roman" w:hAnsi="Times New Roman"/>
          <w:color w:val="000000" w:themeColor="text1"/>
          <w:sz w:val="28"/>
          <w:szCs w:val="28"/>
        </w:rPr>
        <w:lastRenderedPageBreak/>
        <w:t xml:space="preserve">що ставлять під сумнів виправдання позивачів і порушують презумпцію їх невинуватості. </w:t>
      </w:r>
    </w:p>
    <w:p w14:paraId="00DFBDEE" w14:textId="77777777" w:rsidR="00470C2C" w:rsidRDefault="00470C2C" w:rsidP="00470C2C">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475807">
        <w:rPr>
          <w:rFonts w:ascii="Times New Roman" w:hAnsi="Times New Roman"/>
          <w:color w:val="000000" w:themeColor="text1"/>
          <w:sz w:val="28"/>
          <w:szCs w:val="28"/>
        </w:rPr>
        <w:t xml:space="preserve">З огляду на викладене автор скарги вважає, що у діяннях прокурора </w:t>
      </w:r>
      <w:r>
        <w:rPr>
          <w:rFonts w:ascii="Times New Roman" w:hAnsi="Times New Roman"/>
          <w:color w:val="000000" w:themeColor="text1"/>
          <w:sz w:val="28"/>
          <w:szCs w:val="28"/>
        </w:rPr>
        <w:br/>
      </w:r>
      <w:proofErr w:type="spellStart"/>
      <w:r>
        <w:rPr>
          <w:rFonts w:ascii="Times New Roman" w:hAnsi="Times New Roman"/>
          <w:sz w:val="28"/>
          <w:szCs w:val="28"/>
        </w:rPr>
        <w:t>Мерімеріна</w:t>
      </w:r>
      <w:proofErr w:type="spellEnd"/>
      <w:r>
        <w:rPr>
          <w:rFonts w:ascii="Times New Roman" w:hAnsi="Times New Roman"/>
          <w:sz w:val="28"/>
          <w:szCs w:val="28"/>
        </w:rPr>
        <w:t xml:space="preserve"> К.Г</w:t>
      </w:r>
      <w:r>
        <w:rPr>
          <w:rFonts w:ascii="Times New Roman" w:hAnsi="Times New Roman"/>
          <w:sz w:val="28"/>
          <w:szCs w:val="28"/>
          <w:shd w:val="clear" w:color="auto" w:fill="FFFFFF"/>
        </w:rPr>
        <w:t xml:space="preserve">. </w:t>
      </w:r>
      <w:r w:rsidRPr="00475807">
        <w:rPr>
          <w:rFonts w:ascii="Times New Roman" w:hAnsi="Times New Roman"/>
          <w:color w:val="000000" w:themeColor="text1"/>
          <w:sz w:val="28"/>
          <w:szCs w:val="28"/>
        </w:rPr>
        <w:t>вбачаються ознаки дисциплінарних п</w:t>
      </w:r>
      <w:r>
        <w:rPr>
          <w:rFonts w:ascii="Times New Roman" w:hAnsi="Times New Roman"/>
          <w:color w:val="000000" w:themeColor="text1"/>
          <w:sz w:val="28"/>
          <w:szCs w:val="28"/>
        </w:rPr>
        <w:t>р</w:t>
      </w:r>
      <w:r w:rsidRPr="00475807">
        <w:rPr>
          <w:rFonts w:ascii="Times New Roman" w:hAnsi="Times New Roman"/>
          <w:color w:val="000000" w:themeColor="text1"/>
          <w:sz w:val="28"/>
          <w:szCs w:val="28"/>
        </w:rPr>
        <w:t xml:space="preserve">оступків, </w:t>
      </w:r>
      <w:r w:rsidRPr="00AC5ABE">
        <w:rPr>
          <w:rFonts w:ascii="Times New Roman" w:hAnsi="Times New Roman"/>
          <w:color w:val="000000" w:themeColor="text1"/>
          <w:sz w:val="28"/>
          <w:szCs w:val="28"/>
        </w:rPr>
        <w:t xml:space="preserve">передбаченого пунктами </w:t>
      </w:r>
      <w:r w:rsidRPr="00475807">
        <w:rPr>
          <w:rFonts w:ascii="Times New Roman" w:hAnsi="Times New Roman"/>
          <w:color w:val="000000" w:themeColor="text1"/>
          <w:sz w:val="28"/>
          <w:szCs w:val="28"/>
        </w:rPr>
        <w:t>5</w:t>
      </w:r>
      <w:r>
        <w:rPr>
          <w:rFonts w:ascii="Times New Roman" w:hAnsi="Times New Roman"/>
          <w:color w:val="000000" w:themeColor="text1"/>
          <w:sz w:val="28"/>
          <w:szCs w:val="28"/>
        </w:rPr>
        <w:t xml:space="preserve"> та</w:t>
      </w:r>
      <w:r w:rsidRPr="00475807">
        <w:rPr>
          <w:rFonts w:ascii="Times New Roman" w:hAnsi="Times New Roman"/>
          <w:color w:val="000000" w:themeColor="text1"/>
          <w:sz w:val="28"/>
          <w:szCs w:val="28"/>
        </w:rPr>
        <w:t xml:space="preserve"> </w:t>
      </w:r>
      <w:r>
        <w:rPr>
          <w:rFonts w:ascii="Times New Roman" w:hAnsi="Times New Roman"/>
          <w:color w:val="000000" w:themeColor="text1"/>
          <w:sz w:val="28"/>
          <w:szCs w:val="28"/>
        </w:rPr>
        <w:t>9</w:t>
      </w:r>
      <w:r w:rsidRPr="00475807">
        <w:rPr>
          <w:rFonts w:ascii="Times New Roman" w:hAnsi="Times New Roman"/>
          <w:color w:val="000000" w:themeColor="text1"/>
          <w:sz w:val="28"/>
          <w:szCs w:val="28"/>
        </w:rPr>
        <w:t xml:space="preserve"> частини першої статті 43 Закону </w:t>
      </w:r>
      <w:r>
        <w:rPr>
          <w:rFonts w:ascii="Times New Roman" w:hAnsi="Times New Roman"/>
          <w:color w:val="000000" w:themeColor="text1"/>
          <w:sz w:val="28"/>
          <w:szCs w:val="28"/>
        </w:rPr>
        <w:t>України «Про прокуратуру».</w:t>
      </w:r>
    </w:p>
    <w:p w14:paraId="2285FC4D" w14:textId="77777777" w:rsidR="00470C2C" w:rsidRDefault="00470C2C" w:rsidP="00470C2C">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p>
    <w:p w14:paraId="092CC93A" w14:textId="77777777" w:rsidR="00470C2C" w:rsidRPr="00EF27D2" w:rsidRDefault="00470C2C" w:rsidP="00470C2C">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16307E57" w14:textId="72EDD16A" w:rsidR="00470C2C" w:rsidRPr="00295DAE" w:rsidRDefault="00470C2C" w:rsidP="00470C2C">
      <w:pPr>
        <w:widowControl w:val="0"/>
        <w:tabs>
          <w:tab w:val="left" w:pos="709"/>
          <w:tab w:val="left" w:pos="851"/>
        </w:tabs>
        <w:spacing w:after="0" w:line="240" w:lineRule="auto"/>
        <w:ind w:firstLine="709"/>
        <w:jc w:val="both"/>
        <w:rPr>
          <w:rFonts w:ascii="Times New Roman" w:hAnsi="Times New Roman"/>
          <w:color w:val="000000" w:themeColor="text1"/>
          <w:sz w:val="28"/>
          <w:szCs w:val="28"/>
          <w:lang w:val="ru-RU"/>
        </w:rPr>
      </w:pPr>
      <w:r w:rsidRPr="007E0F45">
        <w:rPr>
          <w:rFonts w:ascii="Times New Roman" w:hAnsi="Times New Roman"/>
          <w:color w:val="000000" w:themeColor="text1"/>
          <w:sz w:val="28"/>
          <w:szCs w:val="28"/>
        </w:rPr>
        <w:t xml:space="preserve">До дисциплінарної скарги </w:t>
      </w:r>
      <w:r>
        <w:rPr>
          <w:rFonts w:ascii="Times New Roman" w:hAnsi="Times New Roman"/>
          <w:color w:val="000000" w:themeColor="text1"/>
          <w:sz w:val="28"/>
          <w:szCs w:val="28"/>
        </w:rPr>
        <w:t xml:space="preserve">долучено копію: відзиву на позовну заяву у справі № </w:t>
      </w:r>
      <w:r>
        <w:rPr>
          <w:rFonts w:ascii="Times New Roman" w:hAnsi="Times New Roman"/>
          <w:color w:val="000000" w:themeColor="text1"/>
          <w:sz w:val="28"/>
          <w:szCs w:val="28"/>
        </w:rPr>
        <w:t>(конфіденційна інформація)</w:t>
      </w:r>
      <w:r w:rsidRPr="00295DAE">
        <w:rPr>
          <w:rFonts w:ascii="Times New Roman" w:hAnsi="Times New Roman"/>
          <w:color w:val="000000" w:themeColor="text1"/>
          <w:sz w:val="28"/>
          <w:szCs w:val="28"/>
          <w:lang w:val="ru-RU"/>
        </w:rPr>
        <w:t>.</w:t>
      </w:r>
    </w:p>
    <w:p w14:paraId="5D6B9DA4" w14:textId="77777777" w:rsidR="00470C2C" w:rsidRPr="006B3948" w:rsidRDefault="00470C2C" w:rsidP="00470C2C">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048B9075" w14:textId="77777777" w:rsidR="00470C2C" w:rsidRPr="009F1FC3" w:rsidRDefault="00470C2C" w:rsidP="00470C2C">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79319BA3" w14:textId="77777777" w:rsidR="00470C2C" w:rsidRPr="007E0F45" w:rsidRDefault="00470C2C" w:rsidP="00470C2C">
      <w:pPr>
        <w:widowControl w:val="0"/>
        <w:tabs>
          <w:tab w:val="left" w:pos="851"/>
          <w:tab w:val="left" w:pos="993"/>
        </w:tabs>
        <w:spacing w:after="0" w:line="240" w:lineRule="auto"/>
        <w:jc w:val="both"/>
        <w:rPr>
          <w:rFonts w:ascii="Times New Roman" w:hAnsi="Times New Roman"/>
          <w:color w:val="000000" w:themeColor="text1"/>
          <w:sz w:val="28"/>
          <w:szCs w:val="28"/>
        </w:rPr>
      </w:pPr>
    </w:p>
    <w:p w14:paraId="7F2CB2D3" w14:textId="77777777" w:rsidR="00470C2C" w:rsidRDefault="00470C2C" w:rsidP="00470C2C">
      <w:pPr>
        <w:widowControl w:val="0"/>
        <w:tabs>
          <w:tab w:val="left" w:pos="851"/>
        </w:tabs>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 xml:space="preserve">Відповідно до ст. 131-1 Конституції України однією з функцій прокуратури передбачено </w:t>
      </w:r>
      <w:r>
        <w:rPr>
          <w:rFonts w:ascii="Times New Roman" w:hAnsi="Times New Roman"/>
          <w:sz w:val="28"/>
          <w:szCs w:val="28"/>
          <w:shd w:val="clear" w:color="auto" w:fill="FFFFFF"/>
        </w:rPr>
        <w:t>представництво інтересів держави в суді у виключних випадках і в порядку, що визначені законом.</w:t>
      </w:r>
    </w:p>
    <w:p w14:paraId="70D5372B" w14:textId="77777777" w:rsidR="00470C2C" w:rsidRDefault="00470C2C" w:rsidP="00470C2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Зі змісту частини другої статті 16 </w:t>
      </w:r>
      <w:r w:rsidRPr="00475807">
        <w:rPr>
          <w:rFonts w:ascii="Times New Roman" w:hAnsi="Times New Roman"/>
          <w:color w:val="000000" w:themeColor="text1"/>
          <w:sz w:val="28"/>
          <w:szCs w:val="28"/>
        </w:rPr>
        <w:t xml:space="preserve">Закону </w:t>
      </w:r>
      <w:r>
        <w:rPr>
          <w:rFonts w:ascii="Times New Roman" w:hAnsi="Times New Roman"/>
          <w:color w:val="000000" w:themeColor="text1"/>
          <w:sz w:val="28"/>
          <w:szCs w:val="28"/>
        </w:rPr>
        <w:t xml:space="preserve">України «Про прокуратуру» </w:t>
      </w:r>
      <w:r>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EB269D4" w14:textId="77777777" w:rsidR="00470C2C" w:rsidRDefault="00470C2C" w:rsidP="00470C2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Згідно з приписами статті 23 Закону </w:t>
      </w:r>
      <w:r>
        <w:rPr>
          <w:rFonts w:ascii="Times New Roman" w:hAnsi="Times New Roman"/>
          <w:color w:val="000000" w:themeColor="text1"/>
          <w:sz w:val="28"/>
          <w:szCs w:val="28"/>
        </w:rPr>
        <w:t xml:space="preserve">України «Про прокуратуру» </w:t>
      </w:r>
      <w:r>
        <w:rPr>
          <w:rFonts w:ascii="Times New Roman" w:hAnsi="Times New Roman"/>
          <w:sz w:val="28"/>
          <w:szCs w:val="28"/>
        </w:rPr>
        <w:t>серед повноважень прокурора з виконання покладених на нього функцій передбачено представництво інтересів громадянина або держави в суді.</w:t>
      </w:r>
    </w:p>
    <w:p w14:paraId="5D92B192" w14:textId="77777777" w:rsidR="00470C2C" w:rsidRDefault="00470C2C" w:rsidP="00470C2C">
      <w:pPr>
        <w:spacing w:after="0" w:line="240" w:lineRule="auto"/>
        <w:ind w:firstLine="567"/>
        <w:jc w:val="both"/>
        <w:rPr>
          <w:rFonts w:ascii="Times New Roman" w:hAnsi="Times New Roman"/>
          <w:sz w:val="28"/>
          <w:szCs w:val="28"/>
        </w:rPr>
      </w:pPr>
      <w:r>
        <w:rPr>
          <w:rFonts w:ascii="Times New Roman" w:hAnsi="Times New Roman"/>
          <w:sz w:val="28"/>
          <w:szCs w:val="28"/>
        </w:rPr>
        <w:t>Частиною шостою вищезгаданої статті передбачено, що під час здійснення представництва інтересів громадянина або держави у суді прокурор має право в порядку, передбаченому процесуальним законом та законом, що регулює виконавче провадження звертатися до суду з позовом (заявою, поданням).</w:t>
      </w:r>
    </w:p>
    <w:p w14:paraId="5FB319C9" w14:textId="77777777" w:rsidR="00470C2C" w:rsidRDefault="00470C2C" w:rsidP="00470C2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Визначення дисциплінарного провадження наведено у частині першій статті 45 Закону </w:t>
      </w:r>
      <w:r>
        <w:rPr>
          <w:rFonts w:ascii="Times New Roman" w:hAnsi="Times New Roman"/>
          <w:color w:val="000000" w:themeColor="text1"/>
          <w:sz w:val="28"/>
          <w:szCs w:val="28"/>
        </w:rPr>
        <w:t xml:space="preserve">України «Про прокуратуру» </w:t>
      </w:r>
      <w:r>
        <w:rPr>
          <w:rFonts w:ascii="Times New Roman" w:hAnsi="Times New Roman"/>
          <w:sz w:val="28"/>
          <w:szCs w:val="28"/>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F11580" w14:textId="77777777" w:rsidR="00470C2C" w:rsidRDefault="00470C2C" w:rsidP="00470C2C">
      <w:pPr>
        <w:widowControl w:val="0"/>
        <w:tabs>
          <w:tab w:val="left" w:pos="851"/>
        </w:tabs>
        <w:spacing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 xml:space="preserve">Закону </w:t>
      </w:r>
      <w:r>
        <w:rPr>
          <w:rFonts w:ascii="Times New Roman" w:hAnsi="Times New Roman"/>
          <w:color w:val="000000" w:themeColor="text1"/>
          <w:sz w:val="28"/>
          <w:szCs w:val="28"/>
        </w:rPr>
        <w:t xml:space="preserve">України «Про прокуратуру» </w:t>
      </w:r>
      <w:r>
        <w:rPr>
          <w:rFonts w:ascii="Times New Roman" w:hAnsi="Times New Roman"/>
          <w:sz w:val="28"/>
          <w:szCs w:val="28"/>
        </w:rPr>
        <w:t xml:space="preserve">визначено, що </w:t>
      </w:r>
      <w:r>
        <w:rPr>
          <w:rStyle w:val="rvts9"/>
          <w:rFonts w:ascii="Times New Roman" w:hAnsi="Times New Roman"/>
          <w:bCs/>
          <w:sz w:val="28"/>
          <w:szCs w:val="28"/>
        </w:rPr>
        <w:t xml:space="preserve"> </w:t>
      </w:r>
      <w:r>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w:t>
      </w:r>
      <w:r>
        <w:rPr>
          <w:rFonts w:ascii="Times New Roman" w:hAnsi="Times New Roman"/>
          <w:sz w:val="28"/>
          <w:szCs w:val="28"/>
        </w:rPr>
        <w:lastRenderedPageBreak/>
        <w:t>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FD2B567" w14:textId="77777777" w:rsidR="00470C2C" w:rsidRDefault="00470C2C" w:rsidP="00470C2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Юридична конструкція статті 46 Закону </w:t>
      </w:r>
      <w:r>
        <w:rPr>
          <w:rFonts w:ascii="Times New Roman" w:hAnsi="Times New Roman"/>
          <w:color w:val="000000" w:themeColor="text1"/>
          <w:sz w:val="28"/>
          <w:szCs w:val="28"/>
        </w:rPr>
        <w:t>України «Про прокуратуру»</w:t>
      </w:r>
      <w:r>
        <w:rPr>
          <w:rFonts w:ascii="Times New Roman" w:hAnsi="Times New Roman"/>
          <w:sz w:val="28"/>
          <w:szCs w:val="28"/>
        </w:rPr>
        <w:t xml:space="preserve">,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w:t>
      </w:r>
      <w:r w:rsidRPr="00212B1F">
        <w:rPr>
          <w:rFonts w:ascii="Times New Roman" w:hAnsi="Times New Roman"/>
          <w:sz w:val="28"/>
          <w:szCs w:val="28"/>
        </w:rPr>
        <w:t>анонімною; 3) дисциплінарна скарга подана з підстав, не визначених </w:t>
      </w:r>
      <w:hyperlink r:id="rId6" w:anchor="n416" w:history="1">
        <w:r w:rsidRPr="00212B1F">
          <w:rPr>
            <w:rStyle w:val="af1"/>
            <w:rFonts w:ascii="Times New Roman" w:hAnsi="Times New Roman"/>
            <w:color w:val="auto"/>
            <w:sz w:val="28"/>
            <w:szCs w:val="28"/>
          </w:rPr>
          <w:t>статтею 43</w:t>
        </w:r>
      </w:hyperlink>
      <w:r w:rsidRPr="00212B1F">
        <w:rPr>
          <w:rFonts w:ascii="Times New Roman" w:hAnsi="Times New Roman"/>
          <w:sz w:val="28"/>
          <w:szCs w:val="28"/>
        </w:rPr>
        <w:t> цього Закону; 4) з прокурором, стосовно якого надійшла дисциплінарна скарга, припинено правовідносини у випадках, передбачених</w:t>
      </w:r>
      <w:hyperlink r:id="rId7" w:anchor="n505" w:history="1">
        <w:r w:rsidRPr="00212B1F">
          <w:rPr>
            <w:rStyle w:val="af1"/>
            <w:rFonts w:ascii="Times New Roman" w:hAnsi="Times New Roman"/>
            <w:color w:val="auto"/>
            <w:sz w:val="28"/>
            <w:szCs w:val="28"/>
          </w:rPr>
          <w:t> статтею 51</w:t>
        </w:r>
      </w:hyperlink>
      <w:r w:rsidRPr="00212B1F">
        <w:rPr>
          <w:rFonts w:ascii="Times New Roman" w:hAnsi="Times New Roman"/>
          <w:sz w:val="28"/>
          <w:szCs w:val="28"/>
        </w:rPr>
        <w:t xml:space="preserve"> цього Закону; 5) дисциплінарний проступок, про який зазначено у дисциплінарній скарзі, вже був предметом перевірки і щодо нього відповідний </w:t>
      </w:r>
      <w:r>
        <w:rPr>
          <w:rFonts w:ascii="Times New Roman" w:hAnsi="Times New Roman"/>
          <w:sz w:val="28"/>
          <w:szCs w:val="28"/>
        </w:rPr>
        <w:t>орган, що здійснює дисциплінарне провадження, прийняв рішення, яке не скасовано в установленому законом порядку.</w:t>
      </w:r>
    </w:p>
    <w:p w14:paraId="31860B75" w14:textId="77777777" w:rsidR="00470C2C" w:rsidRDefault="00470C2C" w:rsidP="00470C2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E725593" w14:textId="77777777" w:rsidR="00470C2C" w:rsidRDefault="00470C2C" w:rsidP="00470C2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349F2F3" w14:textId="77777777" w:rsidR="00470C2C" w:rsidRPr="006B3948" w:rsidRDefault="00470C2C" w:rsidP="00470C2C">
      <w:pPr>
        <w:widowControl w:val="0"/>
        <w:tabs>
          <w:tab w:val="left" w:pos="851"/>
        </w:tabs>
        <w:spacing w:line="240" w:lineRule="auto"/>
        <w:ind w:firstLine="567"/>
        <w:contextualSpacing/>
        <w:jc w:val="both"/>
        <w:rPr>
          <w:rFonts w:ascii="Times New Roman" w:hAnsi="Times New Roman"/>
          <w:sz w:val="28"/>
          <w:szCs w:val="28"/>
        </w:rPr>
      </w:pPr>
      <w:r w:rsidRPr="006B3948">
        <w:rPr>
          <w:rFonts w:ascii="Times New Roman" w:hAnsi="Times New Roman"/>
          <w:sz w:val="28"/>
          <w:szCs w:val="28"/>
        </w:rPr>
        <w:t xml:space="preserve">Статтею 174 Цивільного процесуального кодексу України </w:t>
      </w:r>
      <w:r>
        <w:rPr>
          <w:rFonts w:ascii="Times New Roman" w:hAnsi="Times New Roman"/>
          <w:sz w:val="28"/>
          <w:szCs w:val="28"/>
        </w:rPr>
        <w:t xml:space="preserve">(далі – ЦПК України) </w:t>
      </w:r>
      <w:r w:rsidRPr="006B3948">
        <w:rPr>
          <w:rFonts w:ascii="Times New Roman" w:hAnsi="Times New Roman"/>
          <w:sz w:val="28"/>
          <w:szCs w:val="28"/>
        </w:rPr>
        <w:t>визначено, що під час розгляду справи у порядку позовного провадження учасники справи викладають свої вимоги, заперечення, аргументи, пояснення та міркування щодо предмета спору у заявах по суті справи, до яких, зокрема, віднесено відзив на позовну заяву.</w:t>
      </w:r>
    </w:p>
    <w:p w14:paraId="46FA0235" w14:textId="77777777" w:rsidR="00470C2C" w:rsidRDefault="00470C2C" w:rsidP="00470C2C">
      <w:pPr>
        <w:widowControl w:val="0"/>
        <w:tabs>
          <w:tab w:val="left" w:pos="851"/>
        </w:tabs>
        <w:spacing w:line="240" w:lineRule="auto"/>
        <w:ind w:firstLine="567"/>
        <w:contextualSpacing/>
        <w:jc w:val="both"/>
        <w:rPr>
          <w:rFonts w:ascii="Times New Roman" w:hAnsi="Times New Roman"/>
          <w:sz w:val="28"/>
          <w:szCs w:val="28"/>
        </w:rPr>
      </w:pPr>
      <w:r w:rsidRPr="006B3948">
        <w:rPr>
          <w:rFonts w:ascii="Times New Roman" w:hAnsi="Times New Roman"/>
          <w:sz w:val="28"/>
          <w:szCs w:val="28"/>
        </w:rPr>
        <w:t xml:space="preserve">Відповідно до статті 178 </w:t>
      </w:r>
      <w:r>
        <w:rPr>
          <w:rFonts w:ascii="Times New Roman" w:hAnsi="Times New Roman"/>
          <w:sz w:val="28"/>
          <w:szCs w:val="28"/>
        </w:rPr>
        <w:t>ЦПК</w:t>
      </w:r>
      <w:r w:rsidRPr="006B3948">
        <w:rPr>
          <w:rFonts w:ascii="Times New Roman" w:hAnsi="Times New Roman"/>
          <w:sz w:val="28"/>
          <w:szCs w:val="28"/>
        </w:rPr>
        <w:t xml:space="preserve"> України у відзиві відповідач викладає заперечення проти позову, а такий відзив підписується відповідачем або його представником.</w:t>
      </w:r>
    </w:p>
    <w:p w14:paraId="0033925D" w14:textId="77777777" w:rsidR="00470C2C" w:rsidRPr="00212B1F" w:rsidRDefault="00470C2C" w:rsidP="00470C2C">
      <w:pPr>
        <w:widowControl w:val="0"/>
        <w:tabs>
          <w:tab w:val="left" w:pos="851"/>
        </w:tabs>
        <w:spacing w:line="240" w:lineRule="auto"/>
        <w:ind w:firstLine="567"/>
        <w:contextualSpacing/>
        <w:jc w:val="both"/>
        <w:rPr>
          <w:rFonts w:ascii="Times New Roman" w:hAnsi="Times New Roman"/>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5829B80" w14:textId="77777777" w:rsidR="00470C2C" w:rsidRPr="007E0F45" w:rsidRDefault="00470C2C" w:rsidP="00470C2C">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0E9473AB" w14:textId="77777777" w:rsidR="00470C2C" w:rsidRDefault="00470C2C" w:rsidP="00470C2C">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p>
    <w:p w14:paraId="702613C7" w14:textId="77777777" w:rsidR="00470C2C" w:rsidRPr="006A7526" w:rsidRDefault="00470C2C" w:rsidP="00470C2C">
      <w:pPr>
        <w:pStyle w:val="rvps2"/>
        <w:widowControl w:val="0"/>
        <w:shd w:val="clear" w:color="auto" w:fill="FFFFFF"/>
        <w:tabs>
          <w:tab w:val="left" w:pos="993"/>
        </w:tabs>
        <w:spacing w:before="120" w:beforeAutospacing="0" w:after="0" w:afterAutospacing="0"/>
        <w:ind w:firstLine="709"/>
        <w:jc w:val="both"/>
        <w:rPr>
          <w:b/>
          <w:color w:val="000000" w:themeColor="text1"/>
          <w:sz w:val="28"/>
          <w:szCs w:val="28"/>
          <w:lang w:val="uk-UA"/>
        </w:rPr>
      </w:pPr>
      <w:r w:rsidRPr="007E0F45">
        <w:rPr>
          <w:b/>
          <w:color w:val="000000" w:themeColor="text1"/>
          <w:sz w:val="28"/>
          <w:szCs w:val="28"/>
          <w:lang w:val="uk-UA"/>
        </w:rPr>
        <w:lastRenderedPageBreak/>
        <w:t>4. Оцінка встановлених обставин та мотиви прийнятого рішення</w:t>
      </w:r>
    </w:p>
    <w:p w14:paraId="7FD19D05" w14:textId="77777777" w:rsidR="00470C2C" w:rsidRPr="006B3948" w:rsidRDefault="00470C2C" w:rsidP="00470C2C">
      <w:pPr>
        <w:spacing w:before="120" w:after="0" w:line="240" w:lineRule="auto"/>
        <w:ind w:firstLine="708"/>
        <w:jc w:val="both"/>
        <w:rPr>
          <w:rFonts w:ascii="Times New Roman" w:hAnsi="Times New Roman"/>
          <w:color w:val="000000" w:themeColor="text1"/>
          <w:sz w:val="28"/>
          <w:szCs w:val="28"/>
        </w:rPr>
      </w:pPr>
      <w:r w:rsidRPr="006B3948">
        <w:rPr>
          <w:rFonts w:ascii="Times New Roman" w:hAnsi="Times New Roman"/>
          <w:color w:val="000000" w:themeColor="text1"/>
          <w:sz w:val="28"/>
          <w:szCs w:val="28"/>
        </w:rPr>
        <w:t xml:space="preserve">Дисциплінарна скарга стосується дій прокурора, вчинених під час участі у цивільній справі про відшкодування шкоди, заявленої у зв’язку з ухваленням виправдувального </w:t>
      </w:r>
      <w:proofErr w:type="spellStart"/>
      <w:r w:rsidRPr="006B3948">
        <w:rPr>
          <w:rFonts w:ascii="Times New Roman" w:hAnsi="Times New Roman"/>
          <w:color w:val="000000" w:themeColor="text1"/>
          <w:sz w:val="28"/>
          <w:szCs w:val="28"/>
        </w:rPr>
        <w:t>вироку</w:t>
      </w:r>
      <w:proofErr w:type="spellEnd"/>
      <w:r w:rsidRPr="006B3948">
        <w:rPr>
          <w:rFonts w:ascii="Times New Roman" w:hAnsi="Times New Roman"/>
          <w:color w:val="000000" w:themeColor="text1"/>
          <w:sz w:val="28"/>
          <w:szCs w:val="28"/>
        </w:rPr>
        <w:t xml:space="preserve"> у кримінальному провадженні.</w:t>
      </w:r>
    </w:p>
    <w:p w14:paraId="2781C007" w14:textId="77777777" w:rsidR="00470C2C" w:rsidRPr="006B3948" w:rsidRDefault="00470C2C" w:rsidP="00470C2C">
      <w:pPr>
        <w:spacing w:after="0" w:line="240" w:lineRule="auto"/>
        <w:ind w:firstLine="708"/>
        <w:jc w:val="both"/>
        <w:rPr>
          <w:rFonts w:ascii="Times New Roman" w:hAnsi="Times New Roman"/>
          <w:color w:val="000000" w:themeColor="text1"/>
          <w:sz w:val="28"/>
          <w:szCs w:val="28"/>
        </w:rPr>
      </w:pPr>
      <w:r w:rsidRPr="006B3948">
        <w:rPr>
          <w:rFonts w:ascii="Times New Roman" w:hAnsi="Times New Roman"/>
          <w:color w:val="000000" w:themeColor="text1"/>
          <w:sz w:val="28"/>
          <w:szCs w:val="28"/>
        </w:rPr>
        <w:t>Відповідно до статті 19 Конституції України органи державної влади та їх посадові особи зобов’язані діяти лише на підставі, у межах повноважень та у спосіб, що передбачені Конституцією та законами України. Однією із засад діяльності прокуратури є незалежність прокурорів, а здійснюючи свої повноваження, прокурор є незалежним від будь-якого незаконного впливу, тиску чи втручання і керується у своїй діяльності лише Конституцією та законами України (частина друга статті 16 Закону України «Про прокуратуру»).</w:t>
      </w:r>
    </w:p>
    <w:p w14:paraId="37B0A615" w14:textId="77777777" w:rsidR="00470C2C" w:rsidRPr="006B3948" w:rsidRDefault="00470C2C" w:rsidP="00470C2C">
      <w:pPr>
        <w:spacing w:after="0" w:line="240" w:lineRule="auto"/>
        <w:ind w:firstLine="708"/>
        <w:jc w:val="both"/>
        <w:rPr>
          <w:rFonts w:ascii="Times New Roman" w:hAnsi="Times New Roman"/>
          <w:color w:val="000000" w:themeColor="text1"/>
          <w:sz w:val="28"/>
          <w:szCs w:val="28"/>
        </w:rPr>
      </w:pPr>
      <w:r w:rsidRPr="006B3948">
        <w:rPr>
          <w:rFonts w:ascii="Times New Roman" w:hAnsi="Times New Roman"/>
          <w:color w:val="000000" w:themeColor="text1"/>
          <w:sz w:val="28"/>
          <w:szCs w:val="28"/>
        </w:rPr>
        <w:t>Цивільне судочинство здійснюється на засадах змагальності сторін, а учасники справи мають рівні процесуальні права щодо подання доказів, доводів і заперечень (частини перша, друга статті 12 ЦПК України). Учасники справи мають право подавати заяви по суті справи, у яких викладають свої вимоги, заперечення, аргументи та міркування щодо предмета спору (статті 43, 174 ЦПК України).</w:t>
      </w:r>
    </w:p>
    <w:p w14:paraId="0EE04FCB" w14:textId="77777777" w:rsidR="00470C2C" w:rsidRPr="006B3948" w:rsidRDefault="00470C2C" w:rsidP="00470C2C">
      <w:pPr>
        <w:spacing w:after="0" w:line="240" w:lineRule="auto"/>
        <w:ind w:firstLine="708"/>
        <w:jc w:val="both"/>
        <w:rPr>
          <w:rFonts w:ascii="Times New Roman" w:hAnsi="Times New Roman"/>
          <w:color w:val="000000" w:themeColor="text1"/>
          <w:sz w:val="28"/>
          <w:szCs w:val="28"/>
        </w:rPr>
      </w:pPr>
      <w:r w:rsidRPr="006B3948">
        <w:rPr>
          <w:rFonts w:ascii="Times New Roman" w:hAnsi="Times New Roman"/>
          <w:color w:val="000000" w:themeColor="text1"/>
          <w:sz w:val="28"/>
          <w:szCs w:val="28"/>
        </w:rPr>
        <w:t>Оскільки у відповідній справі Одеська обласна прокуратура виступає відповідачем, подання відзиву на позовну заяву є реалізацією її процесуального права на подання заперечень проти позову, передбаченого статтею 178 ЦПК України. Відповідний відзив подається від імені відповідача уповноваженою особою, якою в даному випадку є прокурор.</w:t>
      </w:r>
    </w:p>
    <w:p w14:paraId="4E61E242" w14:textId="77777777" w:rsidR="00470C2C" w:rsidRPr="004A3140" w:rsidRDefault="00470C2C" w:rsidP="00470C2C">
      <w:pPr>
        <w:spacing w:after="0" w:line="240" w:lineRule="auto"/>
        <w:ind w:firstLine="708"/>
        <w:jc w:val="both"/>
        <w:rPr>
          <w:rFonts w:ascii="Times New Roman" w:hAnsi="Times New Roman"/>
          <w:color w:val="000000" w:themeColor="text1"/>
          <w:sz w:val="28"/>
          <w:szCs w:val="28"/>
        </w:rPr>
      </w:pPr>
      <w:r w:rsidRPr="004A3140">
        <w:rPr>
          <w:rFonts w:ascii="Times New Roman" w:hAnsi="Times New Roman"/>
          <w:color w:val="000000" w:themeColor="text1"/>
          <w:sz w:val="28"/>
          <w:szCs w:val="28"/>
        </w:rPr>
        <w:t xml:space="preserve">Посилання прокурора у відзиві на обставини кримінального провадження та фактичні дані, які були предметом дослідження суду, підлягають безпосередній оцінці судом під час розгляду відповідної цивільної справи. </w:t>
      </w:r>
      <w:r w:rsidRPr="006A7526">
        <w:rPr>
          <w:rFonts w:ascii="Times New Roman" w:hAnsi="Times New Roman"/>
          <w:color w:val="000000" w:themeColor="text1"/>
          <w:sz w:val="28"/>
          <w:szCs w:val="28"/>
        </w:rPr>
        <w:t>Відповідно до статті 89 ЦПК України саме суд оцінює належність, допустимість, достовірність кожного доказу окремо, а також достатність і взаємний зв’язок доказів у їх сукупності. Отже, перевірка змісту наведених у відзиві доводів та визначення їх значення для вирішення спору належить до повноважень суду</w:t>
      </w:r>
      <w:r w:rsidRPr="004A3140">
        <w:rPr>
          <w:rFonts w:ascii="Times New Roman" w:hAnsi="Times New Roman"/>
          <w:color w:val="000000" w:themeColor="text1"/>
          <w:sz w:val="28"/>
          <w:szCs w:val="28"/>
        </w:rPr>
        <w:t>. Викладення у відзиві відповідних обставин і заперечень є формою обґрунтування правової позиції відповідача та реалізацією передбаченого процесуальним законом права на подання відзиву. Відтак незгода скаржника зі змістом наведених у відзиві доводів сама по собі не свідчить про наявність у діях прокурора ознак дисциплінарного проступку.</w:t>
      </w:r>
    </w:p>
    <w:p w14:paraId="1C31CAB5" w14:textId="77777777" w:rsidR="00470C2C" w:rsidRPr="00072D15" w:rsidRDefault="00470C2C" w:rsidP="00470C2C">
      <w:pPr>
        <w:spacing w:after="0" w:line="240" w:lineRule="auto"/>
        <w:ind w:firstLine="708"/>
        <w:jc w:val="both"/>
        <w:rPr>
          <w:rFonts w:ascii="Times New Roman" w:hAnsi="Times New Roman"/>
          <w:sz w:val="28"/>
          <w:szCs w:val="28"/>
        </w:rPr>
      </w:pPr>
      <w:r w:rsidRPr="00072D15">
        <w:rPr>
          <w:rFonts w:ascii="Times New Roman" w:hAnsi="Times New Roman"/>
          <w:sz w:val="28"/>
          <w:szCs w:val="28"/>
        </w:rPr>
        <w:t xml:space="preserve">Щодо доводів скаржника про вчинення </w:t>
      </w:r>
      <w:r>
        <w:rPr>
          <w:rFonts w:ascii="Times New Roman" w:hAnsi="Times New Roman"/>
          <w:sz w:val="28"/>
          <w:szCs w:val="28"/>
        </w:rPr>
        <w:t xml:space="preserve">прокурором </w:t>
      </w:r>
      <w:proofErr w:type="spellStart"/>
      <w:r>
        <w:rPr>
          <w:rFonts w:ascii="Times New Roman" w:hAnsi="Times New Roman"/>
          <w:sz w:val="28"/>
          <w:szCs w:val="28"/>
        </w:rPr>
        <w:t>Мерімеріном</w:t>
      </w:r>
      <w:proofErr w:type="spellEnd"/>
      <w:r>
        <w:rPr>
          <w:rFonts w:ascii="Times New Roman" w:hAnsi="Times New Roman"/>
          <w:sz w:val="28"/>
          <w:szCs w:val="28"/>
        </w:rPr>
        <w:t xml:space="preserve"> К.Г. </w:t>
      </w:r>
      <w:r w:rsidRPr="00072D15">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D3A353B" w14:textId="77777777" w:rsidR="00470C2C" w:rsidRDefault="00470C2C" w:rsidP="00470C2C">
      <w:pPr>
        <w:spacing w:after="0" w:line="240" w:lineRule="auto"/>
        <w:ind w:firstLine="708"/>
        <w:jc w:val="both"/>
        <w:rPr>
          <w:rFonts w:ascii="Times New Roman" w:hAnsi="Times New Roman"/>
          <w:sz w:val="28"/>
          <w:szCs w:val="28"/>
        </w:rPr>
      </w:pPr>
      <w:r>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w:t>
      </w:r>
      <w:r>
        <w:rPr>
          <w:rStyle w:val="rvts0"/>
          <w:rFonts w:ascii="Times New Roman" w:hAnsi="Times New Roman"/>
          <w:sz w:val="28"/>
          <w:szCs w:val="28"/>
        </w:rPr>
        <w:t xml:space="preserve">з метою виявлення стану сп’яніння </w:t>
      </w:r>
      <w:r>
        <w:rPr>
          <w:rFonts w:ascii="Times New Roman" w:hAnsi="Times New Roman"/>
          <w:sz w:val="28"/>
          <w:szCs w:val="28"/>
          <w:lang w:eastAsia="uk-UA"/>
        </w:rPr>
        <w:t>та ненадання документів, які підтверджують, що прокурор не перебував у такому стані</w:t>
      </w:r>
      <w:r>
        <w:rPr>
          <w:rFonts w:ascii="Times New Roman" w:hAnsi="Times New Roman"/>
          <w:sz w:val="28"/>
          <w:szCs w:val="28"/>
        </w:rPr>
        <w:t xml:space="preserve">; </w:t>
      </w:r>
      <w:r>
        <w:rPr>
          <w:rFonts w:ascii="Times New Roman" w:hAnsi="Times New Roman"/>
          <w:sz w:val="28"/>
          <w:szCs w:val="28"/>
        </w:rPr>
        <w:lastRenderedPageBreak/>
        <w:t>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D18EA1A" w14:textId="77777777" w:rsidR="00470C2C" w:rsidRDefault="00470C2C" w:rsidP="00470C2C">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дисциплінарна скарга не містить інформації щодо вчинення прокурором </w:t>
      </w:r>
      <w:proofErr w:type="spellStart"/>
      <w:r>
        <w:rPr>
          <w:rFonts w:ascii="Times New Roman" w:hAnsi="Times New Roman"/>
          <w:sz w:val="28"/>
          <w:szCs w:val="28"/>
        </w:rPr>
        <w:t>Мерімеріном</w:t>
      </w:r>
      <w:proofErr w:type="spellEnd"/>
      <w:r>
        <w:rPr>
          <w:rFonts w:ascii="Times New Roman" w:hAnsi="Times New Roman"/>
          <w:sz w:val="28"/>
          <w:szCs w:val="28"/>
        </w:rPr>
        <w:t xml:space="preserve"> К.Г</w:t>
      </w:r>
      <w:r>
        <w:rPr>
          <w:rFonts w:ascii="Times New Roman" w:hAnsi="Times New Roman"/>
          <w:sz w:val="28"/>
          <w:szCs w:val="28"/>
          <w:shd w:val="clear" w:color="auto" w:fill="FFFFFF"/>
        </w:rPr>
        <w:t>. вищезазначених дій</w:t>
      </w:r>
      <w:r>
        <w:rPr>
          <w:rFonts w:ascii="Times New Roman" w:hAnsi="Times New Roman"/>
          <w:sz w:val="28"/>
          <w:szCs w:val="28"/>
        </w:rPr>
        <w:t xml:space="preserve">. </w:t>
      </w:r>
    </w:p>
    <w:p w14:paraId="3FD9E733" w14:textId="77777777" w:rsidR="00470C2C" w:rsidRDefault="00470C2C" w:rsidP="00470C2C">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приймати рішення на підставі припущень, неперевіреної чи недостовірної інформації.</w:t>
      </w:r>
    </w:p>
    <w:p w14:paraId="25875DD4" w14:textId="77777777" w:rsidR="00470C2C" w:rsidRPr="00FF50B7" w:rsidRDefault="00470C2C" w:rsidP="00470C2C">
      <w:pPr>
        <w:widowControl w:val="0"/>
        <w:pBdr>
          <w:bottom w:val="single" w:sz="12" w:space="12" w:color="FFFFFF"/>
        </w:pBdr>
        <w:spacing w:after="0" w:line="240" w:lineRule="auto"/>
        <w:ind w:firstLine="567"/>
        <w:jc w:val="both"/>
        <w:rPr>
          <w:rFonts w:ascii="Times New Roman" w:hAnsi="Times New Roman"/>
          <w:sz w:val="28"/>
          <w:szCs w:val="28"/>
        </w:rPr>
      </w:pPr>
      <w:r w:rsidRPr="0033533B">
        <w:rPr>
          <w:rFonts w:ascii="Times New Roman" w:hAnsi="Times New Roman"/>
          <w:color w:val="000000" w:themeColor="text1"/>
          <w:sz w:val="28"/>
          <w:szCs w:val="28"/>
        </w:rPr>
        <w:t xml:space="preserve">На підставі викладеного вважаю, що дисциплінарна скарга не містить конкретних відомостей, які б свідчили про наявність у діях прокурора </w:t>
      </w:r>
      <w:r>
        <w:rPr>
          <w:rFonts w:ascii="Times New Roman" w:hAnsi="Times New Roman"/>
          <w:color w:val="000000" w:themeColor="text1"/>
          <w:sz w:val="28"/>
          <w:szCs w:val="28"/>
        </w:rPr>
        <w:br/>
      </w:r>
      <w:proofErr w:type="spellStart"/>
      <w:r>
        <w:rPr>
          <w:rFonts w:ascii="Times New Roman" w:hAnsi="Times New Roman"/>
          <w:sz w:val="28"/>
          <w:szCs w:val="28"/>
        </w:rPr>
        <w:t>Мерімеріном</w:t>
      </w:r>
      <w:proofErr w:type="spellEnd"/>
      <w:r>
        <w:rPr>
          <w:rFonts w:ascii="Times New Roman" w:hAnsi="Times New Roman"/>
          <w:sz w:val="28"/>
          <w:szCs w:val="28"/>
        </w:rPr>
        <w:t xml:space="preserve"> К.Г</w:t>
      </w:r>
      <w:r>
        <w:rPr>
          <w:rFonts w:ascii="Times New Roman" w:hAnsi="Times New Roman"/>
          <w:sz w:val="28"/>
          <w:szCs w:val="28"/>
          <w:shd w:val="clear" w:color="auto" w:fill="FFFFFF"/>
        </w:rPr>
        <w:t xml:space="preserve">. </w:t>
      </w:r>
      <w:r w:rsidRPr="0033533B">
        <w:rPr>
          <w:rFonts w:ascii="Times New Roman" w:hAnsi="Times New Roman"/>
          <w:color w:val="000000" w:themeColor="text1"/>
          <w:sz w:val="28"/>
          <w:szCs w:val="28"/>
        </w:rPr>
        <w:t xml:space="preserve">ознак дисциплінарного проступку, передбаченого пунктами 5, </w:t>
      </w:r>
      <w:r>
        <w:rPr>
          <w:rFonts w:ascii="Times New Roman" w:hAnsi="Times New Roman"/>
          <w:color w:val="000000" w:themeColor="text1"/>
          <w:sz w:val="28"/>
          <w:szCs w:val="28"/>
        </w:rPr>
        <w:t>9</w:t>
      </w:r>
      <w:r w:rsidRPr="0033533B">
        <w:rPr>
          <w:rFonts w:ascii="Times New Roman" w:hAnsi="Times New Roman"/>
          <w:color w:val="000000" w:themeColor="text1"/>
          <w:sz w:val="28"/>
          <w:szCs w:val="28"/>
        </w:rPr>
        <w:t xml:space="preserve"> частини першої статті 43 Закону України «Про прокуратуру»</w:t>
      </w:r>
      <w:r>
        <w:rPr>
          <w:rFonts w:ascii="Times New Roman" w:hAnsi="Times New Roman"/>
          <w:color w:val="000000" w:themeColor="text1"/>
          <w:sz w:val="28"/>
          <w:szCs w:val="28"/>
        </w:rPr>
        <w:t>.</w:t>
      </w:r>
    </w:p>
    <w:p w14:paraId="552760BC" w14:textId="77777777" w:rsidR="00470C2C" w:rsidRPr="00E51D24" w:rsidRDefault="00470C2C" w:rsidP="00470C2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2B6FA84" w14:textId="77777777" w:rsidR="00470C2C" w:rsidRPr="007E0F45" w:rsidRDefault="00470C2C" w:rsidP="00470C2C">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20B57B36" w14:textId="77777777" w:rsidR="00470C2C" w:rsidRPr="007E0F45" w:rsidRDefault="00470C2C" w:rsidP="00470C2C">
      <w:pPr>
        <w:widowControl w:val="0"/>
        <w:spacing w:after="0" w:line="240" w:lineRule="auto"/>
        <w:contextualSpacing/>
        <w:jc w:val="center"/>
        <w:rPr>
          <w:rFonts w:ascii="Times New Roman" w:hAnsi="Times New Roman"/>
          <w:b/>
          <w:color w:val="000000" w:themeColor="text1"/>
          <w:sz w:val="28"/>
          <w:szCs w:val="28"/>
        </w:rPr>
      </w:pPr>
    </w:p>
    <w:p w14:paraId="6D44979D" w14:textId="77777777" w:rsidR="00470C2C" w:rsidRPr="007E0F45" w:rsidRDefault="00470C2C" w:rsidP="00470C2C">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sz w:val="28"/>
          <w:szCs w:val="28"/>
        </w:rPr>
        <w:t xml:space="preserve">заступника керівника Одеської обласної прокуратури </w:t>
      </w:r>
      <w:proofErr w:type="spellStart"/>
      <w:r>
        <w:rPr>
          <w:rFonts w:ascii="Times New Roman" w:hAnsi="Times New Roman"/>
          <w:sz w:val="28"/>
          <w:szCs w:val="28"/>
        </w:rPr>
        <w:t>Мерімеріна</w:t>
      </w:r>
      <w:proofErr w:type="spellEnd"/>
      <w:r>
        <w:rPr>
          <w:rFonts w:ascii="Times New Roman" w:hAnsi="Times New Roman"/>
          <w:sz w:val="28"/>
          <w:szCs w:val="28"/>
        </w:rPr>
        <w:t xml:space="preserve"> Костянтина Геннадійовича</w:t>
      </w:r>
      <w:r>
        <w:rPr>
          <w:rFonts w:ascii="Times New Roman" w:hAnsi="Times New Roman"/>
          <w:color w:val="000000" w:themeColor="text1"/>
          <w:sz w:val="28"/>
          <w:szCs w:val="28"/>
        </w:rPr>
        <w:t>.</w:t>
      </w:r>
    </w:p>
    <w:p w14:paraId="7B79496F" w14:textId="77777777" w:rsidR="00470C2C" w:rsidRPr="007E0F45" w:rsidRDefault="00470C2C" w:rsidP="00470C2C">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77031AA3" w14:textId="77777777" w:rsidR="00470C2C" w:rsidRPr="007E0F45" w:rsidRDefault="00470C2C" w:rsidP="00470C2C">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4D21CE09" w14:textId="77777777" w:rsidR="00470C2C" w:rsidRPr="007E0F45" w:rsidRDefault="00470C2C" w:rsidP="00470C2C">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24E9FBA0" w14:textId="77777777" w:rsidR="00470C2C" w:rsidRPr="007E0F45" w:rsidRDefault="00470C2C" w:rsidP="00470C2C">
      <w:pPr>
        <w:rPr>
          <w:color w:val="000000" w:themeColor="text1"/>
        </w:rPr>
      </w:pPr>
    </w:p>
    <w:p w14:paraId="3F66E01F" w14:textId="77777777" w:rsidR="00470C2C" w:rsidRPr="007E0F45" w:rsidRDefault="00470C2C" w:rsidP="00470C2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68B0EB89" w14:textId="77777777" w:rsidR="00470C2C" w:rsidRDefault="00470C2C" w:rsidP="00470C2C"/>
    <w:p w14:paraId="6648E4A6" w14:textId="77777777" w:rsidR="00470C2C" w:rsidRDefault="00470C2C" w:rsidP="00470C2C"/>
    <w:p w14:paraId="15789424" w14:textId="77777777" w:rsidR="00470C2C" w:rsidRDefault="00470C2C" w:rsidP="00470C2C"/>
    <w:p w14:paraId="4DD7E8C4" w14:textId="77777777" w:rsidR="00470C2C" w:rsidRDefault="00470C2C" w:rsidP="00470C2C"/>
    <w:p w14:paraId="6F09902D" w14:textId="77777777" w:rsidR="007D6976" w:rsidRDefault="007D6976"/>
    <w:sectPr w:rsidR="007D6976" w:rsidSect="00470C2C">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4B2EA22A" w14:textId="77777777" w:rsidR="00470C2C" w:rsidRDefault="00470C2C">
        <w:pPr>
          <w:pStyle w:val="af"/>
          <w:jc w:val="center"/>
        </w:pPr>
        <w:r>
          <w:fldChar w:fldCharType="begin"/>
        </w:r>
        <w:r>
          <w:instrText>PAGE   \* MERGEFORMAT</w:instrText>
        </w:r>
        <w:r>
          <w:fldChar w:fldCharType="separate"/>
        </w:r>
        <w:r>
          <w:t>2</w:t>
        </w:r>
        <w:r>
          <w:fldChar w:fldCharType="end"/>
        </w:r>
      </w:p>
    </w:sdtContent>
  </w:sdt>
  <w:p w14:paraId="5710114E" w14:textId="77777777" w:rsidR="00470C2C" w:rsidRDefault="00470C2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47849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2C"/>
    <w:rsid w:val="003767D1"/>
    <w:rsid w:val="00470C2C"/>
    <w:rsid w:val="007D6976"/>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111C"/>
  <w15:chartTrackingRefBased/>
  <w15:docId w15:val="{E0B3E21E-3805-4804-9B5B-6FC19245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C2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470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70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70C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70C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70C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70C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0C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0C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0C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0C2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70C2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70C2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70C2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70C2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70C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70C2C"/>
    <w:rPr>
      <w:rFonts w:eastAsiaTheme="majorEastAsia" w:cstheme="majorBidi"/>
      <w:color w:val="595959" w:themeColor="text1" w:themeTint="A6"/>
    </w:rPr>
  </w:style>
  <w:style w:type="character" w:customStyle="1" w:styleId="80">
    <w:name w:val="Заголовок 8 Знак"/>
    <w:basedOn w:val="a0"/>
    <w:link w:val="8"/>
    <w:uiPriority w:val="9"/>
    <w:semiHidden/>
    <w:rsid w:val="00470C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70C2C"/>
    <w:rPr>
      <w:rFonts w:eastAsiaTheme="majorEastAsia" w:cstheme="majorBidi"/>
      <w:color w:val="272727" w:themeColor="text1" w:themeTint="D8"/>
    </w:rPr>
  </w:style>
  <w:style w:type="paragraph" w:styleId="a3">
    <w:name w:val="Title"/>
    <w:basedOn w:val="a"/>
    <w:next w:val="a"/>
    <w:link w:val="a4"/>
    <w:uiPriority w:val="10"/>
    <w:qFormat/>
    <w:rsid w:val="00470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70C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C2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70C2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70C2C"/>
    <w:pPr>
      <w:spacing w:before="160"/>
      <w:jc w:val="center"/>
    </w:pPr>
    <w:rPr>
      <w:i/>
      <w:iCs/>
      <w:color w:val="404040" w:themeColor="text1" w:themeTint="BF"/>
    </w:rPr>
  </w:style>
  <w:style w:type="character" w:customStyle="1" w:styleId="a8">
    <w:name w:val="Цитата Знак"/>
    <w:basedOn w:val="a0"/>
    <w:link w:val="a7"/>
    <w:uiPriority w:val="29"/>
    <w:rsid w:val="00470C2C"/>
    <w:rPr>
      <w:i/>
      <w:iCs/>
      <w:color w:val="404040" w:themeColor="text1" w:themeTint="BF"/>
    </w:rPr>
  </w:style>
  <w:style w:type="paragraph" w:styleId="a9">
    <w:name w:val="List Paragraph"/>
    <w:basedOn w:val="a"/>
    <w:uiPriority w:val="34"/>
    <w:qFormat/>
    <w:rsid w:val="00470C2C"/>
    <w:pPr>
      <w:ind w:left="720"/>
      <w:contextualSpacing/>
    </w:pPr>
  </w:style>
  <w:style w:type="character" w:styleId="aa">
    <w:name w:val="Intense Emphasis"/>
    <w:basedOn w:val="a0"/>
    <w:uiPriority w:val="21"/>
    <w:qFormat/>
    <w:rsid w:val="00470C2C"/>
    <w:rPr>
      <w:i/>
      <w:iCs/>
      <w:color w:val="0F4761" w:themeColor="accent1" w:themeShade="BF"/>
    </w:rPr>
  </w:style>
  <w:style w:type="paragraph" w:styleId="ab">
    <w:name w:val="Intense Quote"/>
    <w:basedOn w:val="a"/>
    <w:next w:val="a"/>
    <w:link w:val="ac"/>
    <w:uiPriority w:val="30"/>
    <w:qFormat/>
    <w:rsid w:val="00470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70C2C"/>
    <w:rPr>
      <w:i/>
      <w:iCs/>
      <w:color w:val="0F4761" w:themeColor="accent1" w:themeShade="BF"/>
    </w:rPr>
  </w:style>
  <w:style w:type="character" w:styleId="ad">
    <w:name w:val="Intense Reference"/>
    <w:basedOn w:val="a0"/>
    <w:uiPriority w:val="32"/>
    <w:qFormat/>
    <w:rsid w:val="00470C2C"/>
    <w:rPr>
      <w:b/>
      <w:bCs/>
      <w:smallCaps/>
      <w:color w:val="0F4761" w:themeColor="accent1" w:themeShade="BF"/>
      <w:spacing w:val="5"/>
    </w:rPr>
  </w:style>
  <w:style w:type="paragraph" w:styleId="ae">
    <w:name w:val="No Spacing"/>
    <w:uiPriority w:val="1"/>
    <w:qFormat/>
    <w:rsid w:val="00470C2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470C2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470C2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470C2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470C2C"/>
    <w:rPr>
      <w:color w:val="0000FF"/>
      <w:u w:val="single"/>
    </w:rPr>
  </w:style>
  <w:style w:type="character" w:customStyle="1" w:styleId="rvts9">
    <w:name w:val="rvts9"/>
    <w:basedOn w:val="a0"/>
    <w:rsid w:val="00470C2C"/>
  </w:style>
  <w:style w:type="character" w:customStyle="1" w:styleId="rvts0">
    <w:name w:val="rvts0"/>
    <w:uiPriority w:val="99"/>
    <w:qFormat/>
    <w:rsid w:val="00470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7689</Words>
  <Characters>4384</Characters>
  <DocSecurity>0</DocSecurity>
  <Lines>36</Lines>
  <Paragraphs>24</Paragraphs>
  <ScaleCrop>false</ScaleCrop>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2026-04-23T13:51:00Z</dcterms:created>
  <dcterms:modified xsi:type="dcterms:W3CDTF">2026-04-23T13:53:00Z</dcterms:modified>
</cp:coreProperties>
</file>