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389F" w14:textId="77777777" w:rsidR="00AD0994" w:rsidRPr="00AD0994" w:rsidRDefault="00AD0994" w:rsidP="00AD099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kern w:val="0"/>
          <w:sz w:val="26"/>
          <w:szCs w:val="20"/>
          <w:lang w:eastAsia="ru-RU"/>
          <w14:ligatures w14:val="none"/>
        </w:rPr>
      </w:pPr>
      <w:r w:rsidRPr="00AD0994">
        <w:rPr>
          <w:rFonts w:ascii="Times New Roman" w:eastAsia="Times New Roman" w:hAnsi="Times New Roman" w:cs="Times New Roman"/>
          <w:noProof/>
          <w:color w:val="000000"/>
          <w:kern w:val="0"/>
          <w:sz w:val="19"/>
          <w:szCs w:val="20"/>
          <w:lang w:val="ru-RU" w:eastAsia="ru-RU"/>
          <w14:ligatures w14:val="none"/>
        </w:rPr>
        <w:drawing>
          <wp:inline distT="0" distB="0" distL="0" distR="0" wp14:anchorId="4A0BEAA1" wp14:editId="46350F82">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99C05AD" w14:textId="77777777" w:rsidR="00AD0994" w:rsidRPr="00AD0994" w:rsidRDefault="00AD0994" w:rsidP="00AD099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kern w:val="0"/>
          <w:sz w:val="10"/>
          <w:szCs w:val="20"/>
          <w:lang w:eastAsia="ru-RU"/>
          <w14:ligatures w14:val="none"/>
        </w:rPr>
      </w:pPr>
    </w:p>
    <w:p w14:paraId="6192967C" w14:textId="77777777" w:rsidR="00AD0994" w:rsidRPr="00AD0994" w:rsidRDefault="00AD0994" w:rsidP="00AD0994">
      <w:pPr>
        <w:spacing w:after="0" w:line="240" w:lineRule="auto"/>
        <w:jc w:val="center"/>
        <w:rPr>
          <w:rFonts w:ascii="Times New Roman" w:eastAsia="Times New Roman" w:hAnsi="Times New Roman" w:cs="Times New Roman"/>
          <w:color w:val="000000"/>
          <w:kern w:val="28"/>
          <w:sz w:val="32"/>
          <w:szCs w:val="32"/>
          <w:lang w:eastAsia="ru-RU"/>
          <w14:ligatures w14:val="none"/>
        </w:rPr>
      </w:pPr>
      <w:r w:rsidRPr="00AD0994">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AD0994">
        <w:rPr>
          <w:rFonts w:ascii="Times New Roman" w:eastAsia="Times New Roman" w:hAnsi="Times New Roman" w:cs="Times New Roman"/>
          <w:bCs/>
          <w:color w:val="000000"/>
          <w:kern w:val="28"/>
          <w:sz w:val="36"/>
          <w:szCs w:val="32"/>
          <w:lang w:eastAsia="ru-RU"/>
          <w14:ligatures w14:val="none"/>
        </w:rPr>
        <w:br/>
        <w:t>КОМІСІЯ ПРОКУРОРІВ</w:t>
      </w:r>
    </w:p>
    <w:p w14:paraId="4FA40EAE" w14:textId="77777777" w:rsidR="00AD0994" w:rsidRPr="00AD0994" w:rsidRDefault="00AD0994" w:rsidP="00AD0994">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63D3F7CF" w14:textId="77777777" w:rsidR="00AD0994" w:rsidRPr="00AD0994" w:rsidRDefault="00AD0994" w:rsidP="00AD0994">
      <w:pPr>
        <w:spacing w:after="0" w:line="240" w:lineRule="auto"/>
        <w:jc w:val="center"/>
        <w:rPr>
          <w:rFonts w:ascii="Times New Roman" w:eastAsia="Times New Roman" w:hAnsi="Times New Roman" w:cs="Times New Roman"/>
          <w:color w:val="000000"/>
          <w:kern w:val="28"/>
          <w:sz w:val="28"/>
          <w:szCs w:val="28"/>
          <w:lang w:eastAsia="uk-UA"/>
          <w14:ligatures w14:val="none"/>
        </w:rPr>
      </w:pPr>
    </w:p>
    <w:p w14:paraId="55D6AECB" w14:textId="77777777" w:rsidR="00AD0994" w:rsidRPr="00AD0994" w:rsidRDefault="00AD0994" w:rsidP="00AD0994">
      <w:pPr>
        <w:spacing w:after="0" w:line="240" w:lineRule="auto"/>
        <w:jc w:val="center"/>
        <w:rPr>
          <w:rFonts w:ascii="Times New Roman" w:eastAsia="Times New Roman" w:hAnsi="Times New Roman" w:cs="Times New Roman"/>
          <w:b/>
          <w:color w:val="000000"/>
          <w:kern w:val="28"/>
          <w:sz w:val="28"/>
          <w:szCs w:val="28"/>
          <w:lang w:eastAsia="uk-UA"/>
          <w14:ligatures w14:val="none"/>
        </w:rPr>
      </w:pPr>
      <w:r w:rsidRPr="00AD0994">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AD0994">
        <w:rPr>
          <w:rFonts w:ascii="Times New Roman" w:eastAsia="Times New Roman" w:hAnsi="Times New Roman" w:cs="Times New Roman"/>
          <w:b/>
          <w:color w:val="000000"/>
          <w:kern w:val="28"/>
          <w:sz w:val="28"/>
          <w:szCs w:val="28"/>
          <w:lang w:eastAsia="uk-UA"/>
          <w14:ligatures w14:val="none"/>
        </w:rPr>
        <w:t>Н</w:t>
      </w:r>
      <w:proofErr w:type="spellEnd"/>
      <w:r w:rsidRPr="00AD0994">
        <w:rPr>
          <w:rFonts w:ascii="Times New Roman" w:eastAsia="Times New Roman" w:hAnsi="Times New Roman" w:cs="Times New Roman"/>
          <w:b/>
          <w:color w:val="000000"/>
          <w:kern w:val="28"/>
          <w:sz w:val="28"/>
          <w:szCs w:val="28"/>
          <w:lang w:eastAsia="uk-UA"/>
          <w14:ligatures w14:val="none"/>
        </w:rPr>
        <w:t xml:space="preserve"> Я</w:t>
      </w:r>
    </w:p>
    <w:p w14:paraId="27FC7F7C" w14:textId="77777777" w:rsidR="00AD0994" w:rsidRPr="00AD0994" w:rsidRDefault="00AD0994" w:rsidP="00AD0994">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1CB37471" w14:textId="77777777" w:rsidR="00AD0994" w:rsidRPr="00AD0994" w:rsidRDefault="00AD0994" w:rsidP="00AD0994">
      <w:pPr>
        <w:spacing w:after="0" w:line="240" w:lineRule="auto"/>
        <w:jc w:val="both"/>
        <w:rPr>
          <w:rFonts w:ascii="Times New Roman" w:eastAsia="Times New Roman" w:hAnsi="Times New Roman" w:cs="Times New Roman"/>
          <w:b/>
          <w:color w:val="000000"/>
          <w:kern w:val="28"/>
          <w:sz w:val="28"/>
          <w:szCs w:val="28"/>
          <w:lang w:eastAsia="uk-UA"/>
          <w14:ligatures w14:val="none"/>
        </w:rPr>
      </w:pPr>
    </w:p>
    <w:p w14:paraId="2B86D5F7" w14:textId="77777777" w:rsidR="00AD0994" w:rsidRPr="00AD0994" w:rsidRDefault="00AD0994" w:rsidP="00AD0994">
      <w:pPr>
        <w:spacing w:after="0" w:line="240"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2"/>
        <w:gridCol w:w="2836"/>
        <w:gridCol w:w="3401"/>
      </w:tblGrid>
      <w:tr w:rsidR="00AD0994" w:rsidRPr="00AD0994" w14:paraId="750CE1CB" w14:textId="77777777">
        <w:trPr>
          <w:trHeight w:val="460"/>
        </w:trPr>
        <w:tc>
          <w:tcPr>
            <w:tcW w:w="1765" w:type="pct"/>
            <w:hideMark/>
          </w:tcPr>
          <w:p w14:paraId="6ECB2012" w14:textId="77777777" w:rsidR="00AD0994" w:rsidRPr="00AD0994" w:rsidRDefault="00AD0994" w:rsidP="00AD0994">
            <w:pPr>
              <w:spacing w:after="0" w:line="276" w:lineRule="auto"/>
              <w:jc w:val="both"/>
              <w:rPr>
                <w:rFonts w:ascii="Times New Roman" w:eastAsia="Times New Roman" w:hAnsi="Times New Roman" w:cs="Times New Roman"/>
                <w:b/>
                <w:color w:val="000000"/>
                <w:sz w:val="28"/>
                <w:lang w:eastAsia="ru-RU"/>
              </w:rPr>
            </w:pPr>
            <w:r w:rsidRPr="00AD0994">
              <w:rPr>
                <w:rFonts w:ascii="Times New Roman" w:eastAsia="Times New Roman" w:hAnsi="Times New Roman" w:cs="Times New Roman"/>
                <w:b/>
                <w:color w:val="000000"/>
                <w:sz w:val="28"/>
                <w:lang w:eastAsia="ru-RU"/>
              </w:rPr>
              <w:t>01 квітня 2026 року</w:t>
            </w:r>
          </w:p>
        </w:tc>
        <w:tc>
          <w:tcPr>
            <w:tcW w:w="1471" w:type="pct"/>
            <w:hideMark/>
          </w:tcPr>
          <w:p w14:paraId="019A4D5A" w14:textId="77777777" w:rsidR="00AD0994" w:rsidRPr="00AD0994" w:rsidRDefault="00AD0994" w:rsidP="00AD0994">
            <w:pPr>
              <w:spacing w:after="0" w:line="276" w:lineRule="auto"/>
              <w:jc w:val="center"/>
              <w:rPr>
                <w:rFonts w:ascii="Times New Roman" w:eastAsia="Times New Roman" w:hAnsi="Times New Roman" w:cs="Times New Roman"/>
                <w:b/>
                <w:color w:val="000000"/>
                <w:sz w:val="28"/>
                <w:lang w:eastAsia="ru-RU"/>
              </w:rPr>
            </w:pPr>
            <w:r w:rsidRPr="00AD0994">
              <w:rPr>
                <w:rFonts w:ascii="Times New Roman" w:eastAsia="Times New Roman" w:hAnsi="Times New Roman" w:cs="Times New Roman"/>
                <w:b/>
                <w:color w:val="000000"/>
                <w:sz w:val="28"/>
                <w:lang w:eastAsia="ru-RU"/>
              </w:rPr>
              <w:t>Київ</w:t>
            </w:r>
          </w:p>
        </w:tc>
        <w:tc>
          <w:tcPr>
            <w:tcW w:w="1764" w:type="pct"/>
            <w:hideMark/>
          </w:tcPr>
          <w:p w14:paraId="17961E16" w14:textId="77777777" w:rsidR="00AD0994" w:rsidRPr="00AD0994" w:rsidRDefault="00AD0994" w:rsidP="00AD0994">
            <w:pPr>
              <w:spacing w:after="0" w:line="276" w:lineRule="auto"/>
              <w:ind w:firstLine="567"/>
              <w:jc w:val="both"/>
              <w:rPr>
                <w:rFonts w:ascii="Times New Roman" w:eastAsia="Times New Roman" w:hAnsi="Times New Roman" w:cs="Times New Roman"/>
                <w:b/>
                <w:color w:val="000000"/>
                <w:sz w:val="28"/>
                <w:lang w:eastAsia="ru-RU"/>
              </w:rPr>
            </w:pPr>
            <w:r w:rsidRPr="00AD0994">
              <w:rPr>
                <w:rFonts w:ascii="Times New Roman" w:eastAsia="Times New Roman" w:hAnsi="Times New Roman" w:cs="Times New Roman"/>
                <w:b/>
                <w:color w:val="000000"/>
                <w:sz w:val="28"/>
                <w:lang w:eastAsia="ru-RU"/>
              </w:rPr>
              <w:t xml:space="preserve">            № 248дс-26 </w:t>
            </w:r>
          </w:p>
        </w:tc>
      </w:tr>
    </w:tbl>
    <w:p w14:paraId="0A3F301C" w14:textId="77777777" w:rsidR="00AD0994" w:rsidRPr="00AD0994" w:rsidRDefault="00AD0994" w:rsidP="00AD0994">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p>
    <w:p w14:paraId="352547B6" w14:textId="77777777" w:rsidR="00AD0994" w:rsidRPr="00AD0994" w:rsidRDefault="00AD0994" w:rsidP="00AD0994">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r w:rsidRPr="00AD0994">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723CEB07" w14:textId="77777777" w:rsidR="00AD0994" w:rsidRPr="00AD0994" w:rsidRDefault="00AD0994" w:rsidP="00AD0994">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r w:rsidRPr="00AD0994">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26116A8C" w14:textId="77777777" w:rsidR="00AD0994" w:rsidRPr="00AD0994" w:rsidRDefault="00AD0994" w:rsidP="00AD0994">
      <w:pPr>
        <w:widowControl w:val="0"/>
        <w:spacing w:after="0" w:line="240" w:lineRule="auto"/>
        <w:jc w:val="both"/>
        <w:rPr>
          <w:rFonts w:ascii="Times New Roman" w:eastAsia="Calibri" w:hAnsi="Times New Roman" w:cs="Times New Roman"/>
          <w:b/>
          <w:noProof/>
          <w:color w:val="000000"/>
          <w:kern w:val="0"/>
          <w:sz w:val="28"/>
          <w:szCs w:val="28"/>
          <w:lang w:eastAsia="uk-UA"/>
          <w14:ligatures w14:val="none"/>
        </w:rPr>
      </w:pPr>
    </w:p>
    <w:p w14:paraId="05315235" w14:textId="0DFB43E8" w:rsidR="00AD0994" w:rsidRPr="00AD0994" w:rsidRDefault="00AD0994" w:rsidP="00AD0994">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AD0994">
        <w:rPr>
          <w:rFonts w:ascii="Times New Roman" w:eastAsia="Calibri" w:hAnsi="Times New Roman" w:cs="Times New Roman"/>
          <w:color w:val="000000"/>
          <w:kern w:val="0"/>
          <w:sz w:val="28"/>
          <w:szCs w:val="28"/>
          <w14:ligatures w14:val="none"/>
        </w:rPr>
        <w:t>Радзівон</w:t>
      </w:r>
      <w:proofErr w:type="spellEnd"/>
      <w:r w:rsidRPr="00AD0994">
        <w:rPr>
          <w:rFonts w:ascii="Times New Roman" w:eastAsia="Calibri" w:hAnsi="Times New Roman" w:cs="Times New Roman"/>
          <w:color w:val="000000"/>
          <w:kern w:val="0"/>
          <w:sz w:val="28"/>
          <w:szCs w:val="28"/>
          <w14:ligatures w14:val="none"/>
        </w:rPr>
        <w:t xml:space="preserve"> М.О., розглянувши дисциплінарну </w:t>
      </w:r>
      <w:bookmarkStart w:id="0" w:name="_Hlk124933696"/>
      <w:r w:rsidRPr="00AD0994">
        <w:rPr>
          <w:rFonts w:ascii="Times New Roman" w:eastAsia="Calibri" w:hAnsi="Times New Roman" w:cs="Times New Roman"/>
          <w:color w:val="000000"/>
          <w:kern w:val="0"/>
          <w:sz w:val="28"/>
          <w:szCs w:val="28"/>
          <w14:ligatures w14:val="none"/>
        </w:rPr>
        <w:t xml:space="preserve">скаргу </w:t>
      </w:r>
      <w:bookmarkStart w:id="1" w:name="_Hlk136879804"/>
      <w:bookmarkStart w:id="2" w:name="_Hlk215827373"/>
      <w:bookmarkEnd w:id="0"/>
      <w:r>
        <w:rPr>
          <w:rFonts w:ascii="Times New Roman" w:eastAsia="Calibri" w:hAnsi="Times New Roman" w:cs="Times New Roman"/>
          <w:color w:val="000000"/>
          <w:kern w:val="0"/>
          <w:sz w:val="28"/>
          <w:szCs w:val="28"/>
          <w14:ligatures w14:val="none"/>
        </w:rPr>
        <w:t>Особа 1</w:t>
      </w:r>
      <w:r w:rsidRPr="00AD0994">
        <w:rPr>
          <w:rFonts w:ascii="Times New Roman" w:eastAsia="Calibri" w:hAnsi="Times New Roman" w:cs="Times New Roman"/>
          <w:color w:val="000000"/>
          <w:kern w:val="0"/>
          <w:sz w:val="28"/>
          <w:szCs w:val="28"/>
          <w14:ligatures w14:val="none"/>
        </w:rPr>
        <w:t xml:space="preserve"> (далі – скаржник, </w:t>
      </w:r>
      <w:r>
        <w:rPr>
          <w:rFonts w:ascii="Times New Roman" w:eastAsia="Calibri" w:hAnsi="Times New Roman" w:cs="Times New Roman"/>
          <w:color w:val="000000"/>
          <w:kern w:val="0"/>
          <w:sz w:val="28"/>
          <w:szCs w:val="28"/>
          <w14:ligatures w14:val="none"/>
        </w:rPr>
        <w:t>Особа 1</w:t>
      </w:r>
      <w:r w:rsidRPr="00AD0994">
        <w:rPr>
          <w:rFonts w:ascii="Times New Roman" w:eastAsia="Calibri" w:hAnsi="Times New Roman" w:cs="Times New Roman"/>
          <w:color w:val="000000"/>
          <w:kern w:val="0"/>
          <w:sz w:val="28"/>
          <w:szCs w:val="28"/>
          <w14:ligatures w14:val="none"/>
        </w:rPr>
        <w:t xml:space="preserve">) </w:t>
      </w:r>
      <w:bookmarkEnd w:id="1"/>
      <w:bookmarkEnd w:id="2"/>
      <w:r w:rsidRPr="00AD0994">
        <w:rPr>
          <w:rFonts w:ascii="Times New Roman" w:eastAsia="Calibri" w:hAnsi="Times New Roman" w:cs="Times New Roman"/>
          <w:color w:val="000000"/>
          <w:kern w:val="0"/>
          <w:sz w:val="28"/>
          <w:szCs w:val="28"/>
          <w14:ligatures w14:val="none"/>
        </w:rPr>
        <w:t xml:space="preserve">стосовно начальника Переяславського відділу Бориспільської окружної прокуратури Київської області Бражника Валентина </w:t>
      </w:r>
      <w:proofErr w:type="spellStart"/>
      <w:r w:rsidRPr="00AD0994">
        <w:rPr>
          <w:rFonts w:ascii="Times New Roman" w:eastAsia="Calibri" w:hAnsi="Times New Roman" w:cs="Times New Roman"/>
          <w:color w:val="000000"/>
          <w:kern w:val="0"/>
          <w:sz w:val="28"/>
          <w:szCs w:val="28"/>
          <w14:ligatures w14:val="none"/>
        </w:rPr>
        <w:t>Ігоровича</w:t>
      </w:r>
      <w:proofErr w:type="spellEnd"/>
      <w:r w:rsidRPr="00AD0994">
        <w:rPr>
          <w:rFonts w:ascii="Times New Roman" w:eastAsia="Calibri" w:hAnsi="Times New Roman" w:cs="Times New Roman"/>
          <w:color w:val="000000"/>
          <w:kern w:val="0"/>
          <w:sz w:val="28"/>
          <w:szCs w:val="28"/>
          <w14:ligatures w14:val="none"/>
        </w:rPr>
        <w:t xml:space="preserve"> (далі – прокурор Бражник В.І., Бражник В.І.),</w:t>
      </w:r>
    </w:p>
    <w:p w14:paraId="502B6A75" w14:textId="77777777" w:rsidR="00AD0994" w:rsidRPr="00AD0994" w:rsidRDefault="00AD0994" w:rsidP="00AD0994">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2C9FF4FB" w14:textId="77777777" w:rsidR="00AD0994" w:rsidRPr="00AD0994" w:rsidRDefault="00AD0994" w:rsidP="00AD0994">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AD0994">
        <w:rPr>
          <w:rFonts w:ascii="Times New Roman" w:eastAsia="Calibri" w:hAnsi="Times New Roman" w:cs="Times New Roman"/>
          <w:b/>
          <w:noProof/>
          <w:color w:val="000000"/>
          <w:kern w:val="0"/>
          <w:sz w:val="28"/>
          <w:szCs w:val="28"/>
          <w:lang w:eastAsia="uk-UA"/>
          <w14:ligatures w14:val="none"/>
        </w:rPr>
        <w:t>УСТАНОВИВ:</w:t>
      </w:r>
    </w:p>
    <w:p w14:paraId="0F85F8EF" w14:textId="77777777" w:rsidR="00AD0994" w:rsidRPr="00AD0994" w:rsidRDefault="00AD0994" w:rsidP="00AD0994">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p>
    <w:p w14:paraId="21ABA1B2" w14:textId="77777777" w:rsidR="00AD0994" w:rsidRPr="00AD0994" w:rsidRDefault="00AD0994" w:rsidP="00AD0994">
      <w:pPr>
        <w:widowControl w:val="0"/>
        <w:numPr>
          <w:ilvl w:val="0"/>
          <w:numId w:val="1"/>
        </w:numPr>
        <w:tabs>
          <w:tab w:val="left" w:pos="851"/>
          <w:tab w:val="left" w:pos="993"/>
        </w:tabs>
        <w:spacing w:after="0" w:line="240" w:lineRule="auto"/>
        <w:ind w:firstLine="709"/>
        <w:contextualSpacing/>
        <w:jc w:val="both"/>
        <w:rPr>
          <w:rFonts w:ascii="Times New Roman" w:eastAsia="Calibri" w:hAnsi="Times New Roman" w:cs="Times New Roman"/>
          <w:b/>
          <w:color w:val="000000"/>
          <w:kern w:val="0"/>
          <w:sz w:val="28"/>
          <w:szCs w:val="28"/>
          <w14:ligatures w14:val="none"/>
        </w:rPr>
      </w:pPr>
      <w:r w:rsidRPr="00AD0994">
        <w:rPr>
          <w:rFonts w:ascii="Times New Roman" w:eastAsia="Calibri" w:hAnsi="Times New Roman" w:cs="Times New Roman"/>
          <w:b/>
          <w:color w:val="000000"/>
          <w:kern w:val="0"/>
          <w:sz w:val="28"/>
          <w:szCs w:val="28"/>
          <w14:ligatures w14:val="none"/>
        </w:rPr>
        <w:t>Інформація про зміст скарги</w:t>
      </w:r>
    </w:p>
    <w:p w14:paraId="5066FE55" w14:textId="77777777" w:rsidR="00AD0994" w:rsidRPr="00AD0994" w:rsidRDefault="00AD0994" w:rsidP="00AD0994">
      <w:pPr>
        <w:widowControl w:val="0"/>
        <w:tabs>
          <w:tab w:val="left" w:pos="851"/>
          <w:tab w:val="left" w:pos="993"/>
        </w:tabs>
        <w:spacing w:after="0" w:line="240" w:lineRule="auto"/>
        <w:jc w:val="both"/>
        <w:rPr>
          <w:rFonts w:ascii="Times New Roman" w:eastAsia="Calibri" w:hAnsi="Times New Roman" w:cs="Times New Roman"/>
          <w:b/>
          <w:color w:val="000000"/>
          <w:kern w:val="0"/>
          <w:sz w:val="28"/>
          <w:szCs w:val="28"/>
          <w14:ligatures w14:val="none"/>
        </w:rPr>
      </w:pPr>
    </w:p>
    <w:p w14:paraId="1A37E676" w14:textId="2CC3D959"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color w:val="000000"/>
          <w:kern w:val="0"/>
          <w:sz w:val="28"/>
          <w:szCs w:val="28"/>
          <w14:ligatures w14:val="none"/>
        </w:rPr>
        <w:t>Особа 1</w:t>
      </w:r>
      <w:r w:rsidRPr="00AD0994">
        <w:rPr>
          <w:rFonts w:ascii="Times New Roman" w:eastAsia="Calibri" w:hAnsi="Times New Roman" w:cs="Times New Roman"/>
          <w:color w:val="000000"/>
          <w:kern w:val="0"/>
          <w:sz w:val="28"/>
          <w:szCs w:val="28"/>
          <w14:ligatures w14:val="none"/>
        </w:rPr>
        <w:t xml:space="preserve"> про вчинення дисциплінарного проступку прокурором Бражником В.І.</w:t>
      </w:r>
    </w:p>
    <w:p w14:paraId="6D90FFB3"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AD0994">
        <w:rPr>
          <w:rFonts w:ascii="Times New Roman" w:eastAsia="Calibri" w:hAnsi="Times New Roman" w:cs="Times New Roman"/>
          <w:color w:val="000000"/>
          <w:kern w:val="0"/>
          <w:sz w:val="28"/>
          <w:szCs w:val="28"/>
          <w14:ligatures w14:val="none"/>
        </w:rPr>
        <w:t>розподілено</w:t>
      </w:r>
      <w:proofErr w:type="spellEnd"/>
      <w:r w:rsidRPr="00AD0994">
        <w:rPr>
          <w:rFonts w:ascii="Times New Roman" w:eastAsia="Calibri" w:hAnsi="Times New Roman" w:cs="Times New Roman"/>
          <w:color w:val="000000"/>
          <w:kern w:val="0"/>
          <w:sz w:val="28"/>
          <w:szCs w:val="28"/>
          <w14:ligatures w14:val="none"/>
        </w:rPr>
        <w:t xml:space="preserve"> мені (протокол розподілу від 23 березня 2026 року). </w:t>
      </w:r>
    </w:p>
    <w:p w14:paraId="6EAE7720" w14:textId="77777777" w:rsidR="00AD0994" w:rsidRPr="00AD0994" w:rsidRDefault="00AD0994" w:rsidP="00AD0994">
      <w:pPr>
        <w:widowControl w:val="0"/>
        <w:tabs>
          <w:tab w:val="left" w:pos="851"/>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Вирішуючи питання щодо відкриття дисциплінарного провадження встановлено таке. </w:t>
      </w:r>
    </w:p>
    <w:p w14:paraId="361D05A1" w14:textId="79C9F0E0"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Автор скарги зазначив, що у провадженні Переяславського відділу Бориспільського районного управління поліції ГУНП у Київській області перебуває кримінальне провадження № </w:t>
      </w:r>
      <w:r>
        <w:rPr>
          <w:rFonts w:ascii="Times New Roman" w:eastAsia="Calibri" w:hAnsi="Times New Roman" w:cs="Times New Roman"/>
          <w:color w:val="000000"/>
          <w:kern w:val="0"/>
          <w:sz w:val="28"/>
          <w:szCs w:val="28"/>
          <w14:ligatures w14:val="none"/>
        </w:rPr>
        <w:t>(конфіденційна інформація)</w:t>
      </w:r>
      <w:r w:rsidRPr="00AD0994">
        <w:rPr>
          <w:rFonts w:ascii="Times New Roman" w:eastAsia="Calibri" w:hAnsi="Times New Roman" w:cs="Times New Roman"/>
          <w:color w:val="000000"/>
          <w:kern w:val="0"/>
          <w:sz w:val="28"/>
          <w:szCs w:val="28"/>
          <w14:ligatures w14:val="none"/>
        </w:rPr>
        <w:t xml:space="preserve"> за ознаками кримінального правопорушення, передбаченого частиною другою статті 125 Кримінального кодексу України (далі </w:t>
      </w:r>
      <w:r w:rsidRPr="00AD0994">
        <w:rPr>
          <w:rFonts w:ascii="Aptos" w:eastAsia="Calibri" w:hAnsi="Aptos" w:cs="Times New Roman"/>
          <w:color w:val="000000"/>
          <w:kern w:val="0"/>
          <w:sz w:val="28"/>
          <w:szCs w:val="28"/>
          <w14:ligatures w14:val="none"/>
        </w:rPr>
        <w:t>–</w:t>
      </w:r>
      <w:r w:rsidRPr="00AD0994">
        <w:rPr>
          <w:rFonts w:ascii="Times New Roman" w:eastAsia="Calibri" w:hAnsi="Times New Roman" w:cs="Times New Roman"/>
          <w:color w:val="000000"/>
          <w:kern w:val="0"/>
          <w:sz w:val="28"/>
          <w:szCs w:val="28"/>
          <w14:ligatures w14:val="none"/>
        </w:rPr>
        <w:t xml:space="preserve"> КК України). Процесуальне керівництво у вказаному кримінальному провадженні здійснюється, зокрема прокурором Бражником В.І.</w:t>
      </w:r>
    </w:p>
    <w:p w14:paraId="126DC6D6"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При цьому, на думку скаржника, прокурором Бражником В.І. не забезпечено здійснення ефективного досудового розслідування, оскільки попри проведення необхідних слідчий дій та встановлення особи, причетної до вчинення кримінального правопорушення, повідомлення про підозру такій особі</w:t>
      </w:r>
      <w:r w:rsidRPr="00AD0994">
        <w:rPr>
          <w:rFonts w:ascii="Times New Roman" w:eastAsia="Calibri" w:hAnsi="Times New Roman" w:cs="Times New Roman"/>
          <w:color w:val="000000"/>
          <w:kern w:val="0"/>
          <w:sz w:val="28"/>
          <w:szCs w:val="28"/>
          <w:lang w:val="en-US"/>
          <w14:ligatures w14:val="none"/>
        </w:rPr>
        <w:t xml:space="preserve"> </w:t>
      </w:r>
      <w:r w:rsidRPr="00AD0994">
        <w:rPr>
          <w:rFonts w:ascii="Times New Roman" w:eastAsia="Calibri" w:hAnsi="Times New Roman" w:cs="Times New Roman"/>
          <w:color w:val="000000"/>
          <w:kern w:val="0"/>
          <w:sz w:val="28"/>
          <w:szCs w:val="28"/>
          <w14:ligatures w14:val="none"/>
        </w:rPr>
        <w:lastRenderedPageBreak/>
        <w:t xml:space="preserve">станом на час подання скарги так і не було </w:t>
      </w:r>
      <w:proofErr w:type="spellStart"/>
      <w:r w:rsidRPr="00AD0994">
        <w:rPr>
          <w:rFonts w:ascii="Times New Roman" w:eastAsia="Calibri" w:hAnsi="Times New Roman" w:cs="Times New Roman"/>
          <w:color w:val="000000"/>
          <w:kern w:val="0"/>
          <w:sz w:val="28"/>
          <w:szCs w:val="28"/>
          <w14:ligatures w14:val="none"/>
        </w:rPr>
        <w:t>вручено</w:t>
      </w:r>
      <w:proofErr w:type="spellEnd"/>
      <w:r w:rsidRPr="00AD0994">
        <w:rPr>
          <w:rFonts w:ascii="Times New Roman" w:eastAsia="Calibri" w:hAnsi="Times New Roman" w:cs="Times New Roman"/>
          <w:color w:val="000000"/>
          <w:kern w:val="0"/>
          <w:sz w:val="28"/>
          <w:szCs w:val="28"/>
          <w14:ligatures w14:val="none"/>
        </w:rPr>
        <w:t>.</w:t>
      </w:r>
    </w:p>
    <w:p w14:paraId="1871AEF3"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Окрім того, скаржник зазначив, що прокурор, на його думку, неправильно визначив правову кваліфікацію кримінального правопорушення. Дії, вчинені щодо нього, слід кваліфікувати не за статтею 125 КК України, а за статтею 350 КК України, оскільки вони були безпосередньо пов’язані з виконанням ним службових обов’язків.</w:t>
      </w:r>
    </w:p>
    <w:p w14:paraId="5C516463"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На думку скаржника, така бездіяльність свідчить про неналежне виконання прокурором своїх процесуальних обов’язків, штучне затягування досудового розслідування та порушення принципу розумних строків кримінального провадження. Скаржник вказав, що тривале невжиття прокурором належних процесуальних заходів перешкоджає забезпеченню ефективного, повного та своєчасного розслідування, а також унеможливлює притягнення винної особи до відповідальності.</w:t>
      </w:r>
    </w:p>
    <w:p w14:paraId="39850813"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З огляду на викладене скаржник вважав, що в діях прокурора Бражника В.І. вбачаються ознаки дисциплінарного проступку, та просив притягнути його до дисциплінарної відповідальности за невиконання або неналежне виконання службових обов’язків.</w:t>
      </w:r>
    </w:p>
    <w:p w14:paraId="3F93A023" w14:textId="77777777" w:rsidR="00AD0994" w:rsidRPr="00AD0994" w:rsidRDefault="00AD0994" w:rsidP="00AD0994">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color w:val="000000"/>
          <w:kern w:val="0"/>
          <w:sz w:val="28"/>
          <w:szCs w:val="28"/>
          <w14:ligatures w14:val="none"/>
        </w:rPr>
      </w:pPr>
      <w:r w:rsidRPr="00AD0994">
        <w:rPr>
          <w:rFonts w:ascii="Times New Roman" w:eastAsia="Calibri" w:hAnsi="Times New Roman" w:cs="Times New Roman"/>
          <w:b/>
          <w:color w:val="000000"/>
          <w:kern w:val="0"/>
          <w:sz w:val="28"/>
          <w:szCs w:val="28"/>
          <w14:ligatures w14:val="none"/>
        </w:rPr>
        <w:t>Щодо встановлених фактичних відомостей</w:t>
      </w:r>
    </w:p>
    <w:p w14:paraId="1D733363"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p>
    <w:p w14:paraId="67871A2E"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До дисциплінарної скарги долучено копію витягу з Єдиного реєстру досудових розслідувань.</w:t>
      </w:r>
    </w:p>
    <w:p w14:paraId="45043FE9" w14:textId="77777777" w:rsidR="00AD0994" w:rsidRPr="00AD0994" w:rsidRDefault="00AD0994" w:rsidP="00AD0994">
      <w:pPr>
        <w:widowControl w:val="0"/>
        <w:numPr>
          <w:ilvl w:val="0"/>
          <w:numId w:val="2"/>
        </w:numPr>
        <w:pBdr>
          <w:bottom w:val="single" w:sz="12" w:space="12" w:color="FFFFFF"/>
        </w:pBdr>
        <w:spacing w:after="0" w:line="240" w:lineRule="auto"/>
        <w:ind w:left="993" w:hanging="284"/>
        <w:contextualSpacing/>
        <w:jc w:val="both"/>
        <w:rPr>
          <w:rFonts w:ascii="Times New Roman" w:eastAsia="Calibri" w:hAnsi="Times New Roman" w:cs="Times New Roman"/>
          <w:b/>
          <w:color w:val="000000"/>
          <w:kern w:val="0"/>
          <w:sz w:val="28"/>
          <w:szCs w:val="28"/>
          <w14:ligatures w14:val="none"/>
        </w:rPr>
      </w:pPr>
      <w:r w:rsidRPr="00AD0994">
        <w:rPr>
          <w:rFonts w:ascii="Times New Roman" w:eastAsia="Calibri" w:hAnsi="Times New Roman" w:cs="Times New Roman"/>
          <w:b/>
          <w:color w:val="000000"/>
          <w:kern w:val="0"/>
          <w:sz w:val="28"/>
          <w:szCs w:val="28"/>
          <w14:ligatures w14:val="none"/>
        </w:rPr>
        <w:t>Щодо джерел права, які підлягають застосуванню</w:t>
      </w:r>
    </w:p>
    <w:p w14:paraId="4F14A862" w14:textId="77777777" w:rsidR="00AD0994" w:rsidRPr="00AD0994" w:rsidRDefault="00AD0994" w:rsidP="00AD0994">
      <w:pPr>
        <w:spacing w:after="0" w:line="240" w:lineRule="auto"/>
        <w:ind w:firstLine="709"/>
        <w:jc w:val="both"/>
        <w:rPr>
          <w:rFonts w:ascii="Times New Roman" w:eastAsia="Calibri" w:hAnsi="Times New Roman" w:cs="Calibri"/>
          <w:bCs/>
          <w:color w:val="000000"/>
          <w:kern w:val="0"/>
          <w:sz w:val="28"/>
          <w:szCs w:val="22"/>
          <w14:ligatures w14:val="none"/>
        </w:rPr>
      </w:pPr>
      <w:r w:rsidRPr="00AD0994">
        <w:rPr>
          <w:rFonts w:ascii="Times New Roman" w:eastAsia="Calibri" w:hAnsi="Times New Roman" w:cs="Calibri"/>
          <w:bCs/>
          <w:color w:val="000000"/>
          <w:kern w:val="0"/>
          <w:sz w:val="28"/>
          <w:szCs w:val="22"/>
          <w14:ligatures w14:val="none"/>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68C902A"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9838FEC"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Однією із засад діяльності прокуратури, визначеною у статті 3 </w:t>
      </w:r>
      <w:r w:rsidRPr="00AD0994">
        <w:rPr>
          <w:rFonts w:ascii="Times New Roman" w:eastAsia="Calibri" w:hAnsi="Times New Roman" w:cs="Times New Roman"/>
          <w:color w:val="000000"/>
          <w:kern w:val="0"/>
          <w:sz w:val="28"/>
          <w:szCs w:val="28"/>
          <w14:ligatures w14:val="none"/>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352376"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9E075D"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58D35AD"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Про такий порядок оскарження рішень, дій чи бездіяльності прокурора в </w:t>
      </w:r>
      <w:r w:rsidRPr="00AD0994">
        <w:rPr>
          <w:rFonts w:ascii="Times New Roman" w:eastAsia="Calibri" w:hAnsi="Times New Roman" w:cs="Times New Roman"/>
          <w:color w:val="000000"/>
          <w:kern w:val="0"/>
          <w:sz w:val="28"/>
          <w:szCs w:val="28"/>
          <w14:ligatures w14:val="none"/>
        </w:rPr>
        <w:lastRenderedPageBreak/>
        <w:t>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5512535"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50D49BB"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9D25EDA"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 xml:space="preserve">Частиною першою статті 43 </w:t>
      </w:r>
      <w:r w:rsidRPr="00AD0994">
        <w:rPr>
          <w:rFonts w:ascii="Times New Roman" w:eastAsia="Calibri" w:hAnsi="Times New Roman" w:cs="Times New Roman"/>
          <w:color w:val="000000"/>
          <w:kern w:val="0"/>
          <w:sz w:val="28"/>
          <w:szCs w:val="28"/>
          <w14:ligatures w14:val="none"/>
        </w:rPr>
        <w:t xml:space="preserve">Закону України «Про прокуратуру» визначено, що </w:t>
      </w:r>
      <w:bookmarkStart w:id="3" w:name="n417"/>
      <w:bookmarkEnd w:id="3"/>
      <w:r w:rsidRPr="00AD0994">
        <w:rPr>
          <w:rFonts w:ascii="Times New Roman" w:eastAsia="Calibri" w:hAnsi="Times New Roman" w:cs="Times New Roman"/>
          <w:color w:val="000000"/>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168DBBD2"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4" w:name="n418"/>
      <w:bookmarkEnd w:id="4"/>
      <w:r w:rsidRPr="00AD0994">
        <w:rPr>
          <w:rFonts w:ascii="Times New Roman" w:eastAsia="Calibri" w:hAnsi="Times New Roman" w:cs="Times New Roman"/>
          <w:color w:val="000000"/>
          <w:kern w:val="0"/>
          <w:sz w:val="28"/>
          <w:szCs w:val="28"/>
          <w14:ligatures w14:val="none"/>
        </w:rPr>
        <w:t>1) невиконання чи неналежне виконання службових обов’язків;</w:t>
      </w:r>
    </w:p>
    <w:p w14:paraId="566B2D0C"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5" w:name="n419"/>
      <w:bookmarkEnd w:id="5"/>
      <w:r w:rsidRPr="00AD0994">
        <w:rPr>
          <w:rFonts w:ascii="Times New Roman" w:eastAsia="Calibri" w:hAnsi="Times New Roman" w:cs="Times New Roman"/>
          <w:color w:val="000000"/>
          <w:kern w:val="0"/>
          <w:sz w:val="28"/>
          <w:szCs w:val="28"/>
          <w14:ligatures w14:val="none"/>
        </w:rPr>
        <w:t>2) необґрунтоване зволікання з розглядом звернення;</w:t>
      </w:r>
    </w:p>
    <w:p w14:paraId="68AC0351"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6" w:name="n420"/>
      <w:bookmarkEnd w:id="6"/>
      <w:r w:rsidRPr="00AD0994">
        <w:rPr>
          <w:rFonts w:ascii="Times New Roman" w:eastAsia="Calibri" w:hAnsi="Times New Roman" w:cs="Times New Roman"/>
          <w:color w:val="000000"/>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2A083217"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7" w:name="n421"/>
      <w:bookmarkEnd w:id="7"/>
      <w:r w:rsidRPr="00AD0994">
        <w:rPr>
          <w:rFonts w:ascii="Times New Roman" w:eastAsia="Calibri" w:hAnsi="Times New Roman" w:cs="Times New Roman"/>
          <w:color w:val="000000"/>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177652E8"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9" w:name="n422"/>
      <w:bookmarkEnd w:id="9"/>
      <w:r w:rsidRPr="00AD0994">
        <w:rPr>
          <w:rFonts w:ascii="Times New Roman" w:eastAsia="Calibri" w:hAnsi="Times New Roman" w:cs="Times New Roman"/>
          <w:color w:val="000000"/>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1574AC0"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0" w:name="n423"/>
      <w:bookmarkEnd w:id="10"/>
      <w:r w:rsidRPr="00AD0994">
        <w:rPr>
          <w:rFonts w:ascii="Times New Roman" w:eastAsia="Calibri" w:hAnsi="Times New Roman" w:cs="Times New Roman"/>
          <w:color w:val="000000"/>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7CDB71A0"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1" w:name="n424"/>
      <w:bookmarkEnd w:id="11"/>
      <w:r w:rsidRPr="00AD0994">
        <w:rPr>
          <w:rFonts w:ascii="Times New Roman" w:eastAsia="Calibri" w:hAnsi="Times New Roman" w:cs="Times New Roman"/>
          <w:color w:val="000000"/>
          <w:kern w:val="0"/>
          <w:sz w:val="28"/>
          <w:szCs w:val="28"/>
          <w14:ligatures w14:val="none"/>
        </w:rPr>
        <w:t>7) порушення правил внутрішнього службового розпорядку;</w:t>
      </w:r>
    </w:p>
    <w:p w14:paraId="09A30B14"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2" w:name="n425"/>
      <w:bookmarkEnd w:id="12"/>
      <w:r w:rsidRPr="00AD0994">
        <w:rPr>
          <w:rFonts w:ascii="Times New Roman" w:eastAsia="Calibri" w:hAnsi="Times New Roman" w:cs="Times New Roman"/>
          <w:color w:val="000000"/>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EECACCC"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3" w:name="n426"/>
      <w:bookmarkEnd w:id="13"/>
      <w:r w:rsidRPr="00AD0994">
        <w:rPr>
          <w:rFonts w:ascii="Times New Roman" w:eastAsia="Calibri" w:hAnsi="Times New Roman" w:cs="Times New Roman"/>
          <w:color w:val="000000"/>
          <w:kern w:val="0"/>
          <w:sz w:val="28"/>
          <w:szCs w:val="28"/>
          <w14:ligatures w14:val="none"/>
        </w:rPr>
        <w:t>9) публічне висловлювання, яке є порушенням презумпції невинуватості.</w:t>
      </w:r>
    </w:p>
    <w:p w14:paraId="68ADE03B"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1801444"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599676ED"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4" w:name="n441"/>
      <w:bookmarkEnd w:id="14"/>
      <w:r w:rsidRPr="00AD0994">
        <w:rPr>
          <w:rFonts w:ascii="Times New Roman" w:eastAsia="Calibri" w:hAnsi="Times New Roman" w:cs="Times New Roman"/>
          <w:color w:val="000000"/>
          <w:kern w:val="0"/>
          <w:sz w:val="28"/>
          <w:szCs w:val="28"/>
          <w14:ligatures w14:val="none"/>
        </w:rPr>
        <w:t>2) дисциплінарна скарга є анонімною;</w:t>
      </w:r>
    </w:p>
    <w:p w14:paraId="7C5D569C"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5" w:name="n442"/>
      <w:bookmarkEnd w:id="15"/>
      <w:r w:rsidRPr="00AD0994">
        <w:rPr>
          <w:rFonts w:ascii="Times New Roman" w:eastAsia="Calibri" w:hAnsi="Times New Roman" w:cs="Times New Roman"/>
          <w:color w:val="000000"/>
          <w:kern w:val="0"/>
          <w:sz w:val="28"/>
          <w:szCs w:val="28"/>
          <w14:ligatures w14:val="none"/>
        </w:rPr>
        <w:t>3) дисциплінарна скарга подана з підстав, не визначених </w:t>
      </w:r>
      <w:hyperlink r:id="rId6" w:anchor="n416" w:history="1">
        <w:r w:rsidRPr="00AD0994">
          <w:rPr>
            <w:rFonts w:ascii="Times New Roman" w:eastAsia="Calibri" w:hAnsi="Times New Roman" w:cs="Times New Roman"/>
            <w:color w:val="000000"/>
            <w:kern w:val="0"/>
            <w:sz w:val="28"/>
            <w:szCs w:val="28"/>
            <w:u w:val="single"/>
            <w14:ligatures w14:val="none"/>
          </w:rPr>
          <w:t>статтею 43</w:t>
        </w:r>
      </w:hyperlink>
      <w:r w:rsidRPr="00AD0994">
        <w:rPr>
          <w:rFonts w:ascii="Times New Roman" w:eastAsia="Calibri" w:hAnsi="Times New Roman" w:cs="Times New Roman"/>
          <w:color w:val="000000"/>
          <w:kern w:val="0"/>
          <w:sz w:val="28"/>
          <w:szCs w:val="28"/>
          <w14:ligatures w14:val="none"/>
        </w:rPr>
        <w:t> цього Закону;</w:t>
      </w:r>
    </w:p>
    <w:p w14:paraId="23D089D2"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6" w:name="n443"/>
      <w:bookmarkEnd w:id="16"/>
      <w:r w:rsidRPr="00AD0994">
        <w:rPr>
          <w:rFonts w:ascii="Times New Roman" w:eastAsia="Calibri" w:hAnsi="Times New Roman" w:cs="Times New Roman"/>
          <w:color w:val="000000"/>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7" w:anchor="n505" w:history="1">
        <w:r w:rsidRPr="00AD0994">
          <w:rPr>
            <w:rFonts w:ascii="Times New Roman" w:eastAsia="Calibri" w:hAnsi="Times New Roman" w:cs="Times New Roman"/>
            <w:color w:val="000000"/>
            <w:kern w:val="0"/>
            <w:sz w:val="28"/>
            <w:szCs w:val="28"/>
            <w:u w:val="single"/>
            <w14:ligatures w14:val="none"/>
          </w:rPr>
          <w:t> статтею 51</w:t>
        </w:r>
      </w:hyperlink>
      <w:r w:rsidRPr="00AD0994">
        <w:rPr>
          <w:rFonts w:ascii="Times New Roman" w:eastAsia="Calibri" w:hAnsi="Times New Roman" w:cs="Times New Roman"/>
          <w:color w:val="000000"/>
          <w:kern w:val="0"/>
          <w:sz w:val="28"/>
          <w:szCs w:val="28"/>
          <w14:ligatures w14:val="none"/>
        </w:rPr>
        <w:t> цього Закону;</w:t>
      </w:r>
      <w:bookmarkStart w:id="17" w:name="n1893"/>
      <w:bookmarkEnd w:id="17"/>
    </w:p>
    <w:p w14:paraId="12440D8A" w14:textId="77777777" w:rsidR="00AD0994" w:rsidRPr="00AD0994" w:rsidRDefault="00AD0994" w:rsidP="00AD0994">
      <w:pPr>
        <w:widowControl w:val="0"/>
        <w:tabs>
          <w:tab w:val="left" w:pos="709"/>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bookmarkStart w:id="18" w:name="n444"/>
      <w:bookmarkEnd w:id="18"/>
      <w:r w:rsidRPr="00AD0994">
        <w:rPr>
          <w:rFonts w:ascii="Times New Roman" w:eastAsia="Calibri" w:hAnsi="Times New Roman" w:cs="Times New Roman"/>
          <w:color w:val="000000"/>
          <w:kern w:val="0"/>
          <w:sz w:val="28"/>
          <w:szCs w:val="28"/>
          <w14:ligatures w14:val="none"/>
        </w:rPr>
        <w:lastRenderedPageBreak/>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57C82F36"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820C8" w14:textId="77777777" w:rsidR="00AD0994" w:rsidRPr="00AD0994" w:rsidRDefault="00AD0994" w:rsidP="00AD0994">
      <w:pPr>
        <w:widowControl w:val="0"/>
        <w:tabs>
          <w:tab w:val="left" w:pos="851"/>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AD0994">
        <w:rPr>
          <w:rFonts w:ascii="Times New Roman" w:eastAsia="Calibri" w:hAnsi="Times New Roman" w:cs="Times New Roman"/>
          <w:color w:val="000000"/>
          <w:kern w:val="0"/>
          <w:sz w:val="28"/>
          <w:szCs w:val="28"/>
          <w14:ligatures w14:val="none"/>
        </w:rPr>
        <w:t>причиновий</w:t>
      </w:r>
      <w:proofErr w:type="spellEnd"/>
      <w:r w:rsidRPr="00AD0994">
        <w:rPr>
          <w:rFonts w:ascii="Times New Roman" w:eastAsia="Calibri" w:hAnsi="Times New Roman" w:cs="Times New Roman"/>
          <w:color w:val="000000"/>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99E5D4A" w14:textId="77777777" w:rsidR="00AD0994" w:rsidRPr="00AD0994" w:rsidRDefault="00AD0994" w:rsidP="00AD0994">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B6DC869" w14:textId="77777777" w:rsidR="00AD0994" w:rsidRPr="00AD0994" w:rsidRDefault="00AD0994" w:rsidP="00AD0994">
      <w:pPr>
        <w:widowControl w:val="0"/>
        <w:tabs>
          <w:tab w:val="left" w:pos="851"/>
        </w:tabs>
        <w:spacing w:after="0" w:line="240" w:lineRule="auto"/>
        <w:ind w:firstLine="709"/>
        <w:jc w:val="both"/>
        <w:rPr>
          <w:rFonts w:ascii="Times New Roman" w:eastAsia="Calibri" w:hAnsi="Times New Roman" w:cs="Times New Roman"/>
          <w:bCs/>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DAE2688" w14:textId="77777777" w:rsidR="00AD0994" w:rsidRPr="00AD0994" w:rsidRDefault="00AD0994" w:rsidP="00AD0994">
      <w:pPr>
        <w:widowControl w:val="0"/>
        <w:spacing w:after="0" w:line="240" w:lineRule="auto"/>
        <w:ind w:firstLine="709"/>
        <w:jc w:val="both"/>
        <w:rPr>
          <w:rFonts w:ascii="Times New Roman" w:eastAsia="Calibri" w:hAnsi="Times New Roman" w:cs="Times New Roman"/>
          <w:color w:val="000000"/>
          <w:kern w:val="0"/>
          <w:sz w:val="28"/>
          <w:szCs w:val="28"/>
          <w:lang w:eastAsia="uk-UA"/>
          <w14:ligatures w14:val="none"/>
        </w:rPr>
      </w:pPr>
      <w:r w:rsidRPr="00AD0994">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D0906B3" w14:textId="77777777" w:rsidR="00AD0994" w:rsidRPr="00AD0994" w:rsidRDefault="00AD0994" w:rsidP="00AD0994">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r w:rsidRPr="00AD0994">
        <w:rPr>
          <w:rFonts w:ascii="Times New Roman" w:eastAsia="Calibri" w:hAnsi="Times New Roman" w:cs="Times New Roman"/>
          <w:bCs/>
          <w:color w:val="000000"/>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E52CBF5" w14:textId="77777777" w:rsidR="00AD0994" w:rsidRPr="00AD0994" w:rsidRDefault="00AD0994" w:rsidP="00AD0994">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3967420F" w14:textId="77777777" w:rsidR="00AD0994" w:rsidRPr="00AD0994" w:rsidRDefault="00AD0994" w:rsidP="00AD0994">
      <w:pPr>
        <w:widowControl w:val="0"/>
        <w:shd w:val="clear" w:color="auto" w:fill="FFFFFF"/>
        <w:tabs>
          <w:tab w:val="left" w:pos="993"/>
        </w:tabs>
        <w:spacing w:after="0" w:line="240" w:lineRule="auto"/>
        <w:ind w:firstLine="709"/>
        <w:contextualSpacing/>
        <w:jc w:val="both"/>
        <w:rPr>
          <w:rFonts w:ascii="Times New Roman" w:eastAsia="Times New Roman" w:hAnsi="Times New Roman" w:cs="Times New Roman"/>
          <w:b/>
          <w:color w:val="000000"/>
          <w:kern w:val="0"/>
          <w:sz w:val="28"/>
          <w:szCs w:val="28"/>
          <w:lang w:eastAsia="ru-RU"/>
          <w14:ligatures w14:val="none"/>
        </w:rPr>
      </w:pPr>
      <w:r w:rsidRPr="00AD0994">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495DFAF0" w14:textId="77777777" w:rsidR="00AD0994" w:rsidRPr="00AD0994" w:rsidRDefault="00AD0994" w:rsidP="00AD0994">
      <w:pPr>
        <w:widowControl w:val="0"/>
        <w:tabs>
          <w:tab w:val="left" w:pos="851"/>
          <w:tab w:val="left" w:pos="993"/>
        </w:tabs>
        <w:spacing w:after="0" w:line="240" w:lineRule="auto"/>
        <w:jc w:val="both"/>
        <w:rPr>
          <w:rFonts w:ascii="Times New Roman" w:eastAsia="Calibri" w:hAnsi="Times New Roman" w:cs="Times New Roman"/>
          <w:bCs/>
          <w:color w:val="000000"/>
          <w:kern w:val="0"/>
          <w:sz w:val="28"/>
          <w:szCs w:val="28"/>
          <w14:ligatures w14:val="none"/>
        </w:rPr>
      </w:pPr>
    </w:p>
    <w:p w14:paraId="35709996" w14:textId="1D7F5A2F"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Дисциплінарна скарга </w:t>
      </w:r>
      <w:r>
        <w:rPr>
          <w:rFonts w:ascii="Times New Roman" w:eastAsia="Calibri" w:hAnsi="Times New Roman" w:cs="Times New Roman"/>
          <w:color w:val="000000"/>
          <w:kern w:val="0"/>
          <w:sz w:val="28"/>
          <w:szCs w:val="28"/>
          <w14:ligatures w14:val="none"/>
        </w:rPr>
        <w:t>Особа 1</w:t>
      </w:r>
      <w:r w:rsidRPr="00AD0994">
        <w:rPr>
          <w:rFonts w:ascii="Times New Roman" w:eastAsia="Calibri" w:hAnsi="Times New Roman" w:cs="Times New Roman"/>
          <w:color w:val="000000"/>
          <w:kern w:val="0"/>
          <w:sz w:val="28"/>
          <w:szCs w:val="28"/>
          <w14:ligatures w14:val="none"/>
        </w:rPr>
        <w:t xml:space="preserve"> стосується рішень, дій та бездіяльності прокурора Бражника В.І., вчинених (допущених) у межах кримінального процесу.</w:t>
      </w:r>
    </w:p>
    <w:p w14:paraId="3BC0E583"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Умовою для відкриття дисциплінарного провадження у цьому випадку має </w:t>
      </w:r>
      <w:r w:rsidRPr="00AD0994">
        <w:rPr>
          <w:rFonts w:ascii="Times New Roman" w:eastAsia="Calibri" w:hAnsi="Times New Roman" w:cs="Times New Roman"/>
          <w:color w:val="000000"/>
          <w:kern w:val="0"/>
          <w:sz w:val="28"/>
          <w:szCs w:val="28"/>
          <w14:ligatures w14:val="none"/>
        </w:rPr>
        <w:lastRenderedPageBreak/>
        <w:t>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2319A25"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3F3692F"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C173811"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Автор скарги вказав про те, що прокурором Бражником В.І. не забезпечено здійснення ефективного досудового розслідування кримінального провадження. </w:t>
      </w:r>
    </w:p>
    <w:p w14:paraId="01CED818"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Варто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7744C41E"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r w:rsidRPr="00AD0994">
        <w:rPr>
          <w:rFonts w:ascii="Times New Roman" w:eastAsia="Calibri" w:hAnsi="Times New Roman" w:cs="Times New Roman"/>
          <w:color w:val="000000"/>
          <w:kern w:val="0"/>
          <w:sz w:val="28"/>
          <w:szCs w:val="28"/>
          <w14:ligatures w14:val="none"/>
        </w:rPr>
        <w:t>Повноваження прокурора щодо самостійного проведення слідчих дій є субсидіарними щодо відповідних повноважень слідчих (</w:t>
      </w:r>
      <w:proofErr w:type="spellStart"/>
      <w:r w:rsidRPr="00AD0994">
        <w:rPr>
          <w:rFonts w:ascii="Times New Roman" w:eastAsia="Calibri" w:hAnsi="Times New Roman" w:cs="Times New Roman"/>
          <w:color w:val="000000"/>
          <w:kern w:val="0"/>
          <w:sz w:val="28"/>
          <w:szCs w:val="28"/>
          <w14:ligatures w14:val="none"/>
        </w:rPr>
        <w:t>дізнавачів</w:t>
      </w:r>
      <w:proofErr w:type="spellEnd"/>
      <w:r w:rsidRPr="00AD0994">
        <w:rPr>
          <w:rFonts w:ascii="Times New Roman" w:eastAsia="Calibri" w:hAnsi="Times New Roman" w:cs="Times New Roman"/>
          <w:color w:val="000000"/>
          <w:kern w:val="0"/>
          <w:sz w:val="28"/>
          <w:szCs w:val="28"/>
          <w14:ligatures w14:val="none"/>
        </w:rPr>
        <w:t>) органів досудового розслідування. Наявність у прокурора таких повноважень не означає, що в разі, якщо слідчий (</w:t>
      </w:r>
      <w:proofErr w:type="spellStart"/>
      <w:r w:rsidRPr="00AD0994">
        <w:rPr>
          <w:rFonts w:ascii="Times New Roman" w:eastAsia="Calibri" w:hAnsi="Times New Roman" w:cs="Times New Roman"/>
          <w:color w:val="000000"/>
          <w:kern w:val="0"/>
          <w:sz w:val="28"/>
          <w:szCs w:val="28"/>
          <w14:ligatures w14:val="none"/>
        </w:rPr>
        <w:t>дізнавач</w:t>
      </w:r>
      <w:proofErr w:type="spellEnd"/>
      <w:r w:rsidRPr="00AD0994">
        <w:rPr>
          <w:rFonts w:ascii="Times New Roman" w:eastAsia="Calibri" w:hAnsi="Times New Roman" w:cs="Times New Roman"/>
          <w:color w:val="000000"/>
          <w:kern w:val="0"/>
          <w:sz w:val="28"/>
          <w:szCs w:val="28"/>
          <w14:ligatures w14:val="none"/>
        </w:rPr>
        <w:t>) не виконує відповідні слідчі дії, прокурор зобов’язаний здійснювати їх замість слідчого (</w:t>
      </w:r>
      <w:proofErr w:type="spellStart"/>
      <w:r w:rsidRPr="00AD0994">
        <w:rPr>
          <w:rFonts w:ascii="Times New Roman" w:eastAsia="Calibri" w:hAnsi="Times New Roman" w:cs="Times New Roman"/>
          <w:color w:val="000000"/>
          <w:kern w:val="0"/>
          <w:sz w:val="28"/>
          <w:szCs w:val="28"/>
          <w14:ligatures w14:val="none"/>
        </w:rPr>
        <w:t>дізнавача</w:t>
      </w:r>
      <w:proofErr w:type="spellEnd"/>
      <w:r w:rsidRPr="00AD0994">
        <w:rPr>
          <w:rFonts w:ascii="Times New Roman" w:eastAsia="Calibri" w:hAnsi="Times New Roman" w:cs="Times New Roman"/>
          <w:color w:val="000000"/>
          <w:kern w:val="0"/>
          <w:sz w:val="28"/>
          <w:szCs w:val="28"/>
          <w14:ligatures w14:val="none"/>
        </w:rPr>
        <w:t>).</w:t>
      </w:r>
    </w:p>
    <w:p w14:paraId="2424A3F8"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 xml:space="preserve">При цьому посилання скаржника на порушення прокурором </w:t>
      </w:r>
      <w:r w:rsidRPr="00AD0994">
        <w:rPr>
          <w:rFonts w:ascii="Times New Roman" w:eastAsia="Calibri" w:hAnsi="Times New Roman" w:cs="Times New Roman"/>
          <w:kern w:val="0"/>
          <w:sz w:val="28"/>
          <w:szCs w:val="28"/>
          <w14:ligatures w14:val="none"/>
        </w:rPr>
        <w:br/>
        <w:t>Бражником В.І. розумних строків досудового розслідування зазначеного кримінального провадження є оціночним судженням та його особистим переконанням, яке не підтверджено належними доказами. </w:t>
      </w:r>
    </w:p>
    <w:p w14:paraId="2CB32F3F"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r w:rsidRPr="00AD0994">
        <w:rPr>
          <w:rFonts w:ascii="Times New Roman" w:eastAsia="Calibri" w:hAnsi="Times New Roman" w:cs="Times New Roman"/>
          <w:kern w:val="0"/>
          <w:sz w:val="28"/>
          <w:szCs w:val="28"/>
          <w14:ligatures w14:val="none"/>
        </w:rPr>
        <w:t xml:space="preserve">Відповідно до вимог частини першої та другої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AD0994">
        <w:rPr>
          <w:rFonts w:ascii="Times New Roman" w:eastAsia="Calibri" w:hAnsi="Times New Roman" w:cs="Times New Roman"/>
          <w:kern w:val="0"/>
          <w:sz w:val="28"/>
          <w:szCs w:val="28"/>
          <w14:ligatures w14:val="none"/>
        </w:rPr>
        <w:t>дізнавачем</w:t>
      </w:r>
      <w:proofErr w:type="spellEnd"/>
      <w:r w:rsidRPr="00AD0994">
        <w:rPr>
          <w:rFonts w:ascii="Times New Roman" w:eastAsia="Calibri" w:hAnsi="Times New Roman" w:cs="Times New Roman"/>
          <w:kern w:val="0"/>
          <w:sz w:val="28"/>
          <w:szCs w:val="28"/>
          <w14:ligatures w14:val="none"/>
        </w:rPr>
        <w:t>, прокурором під час досудового розслідування. 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712848AB"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Водночас дисциплінарна скарга та додані до неї матеріали не містять відомостей про подання відповідної скарги, а також про встановлення порушень з боку прокурора за результатами її розгляду.</w:t>
      </w:r>
    </w:p>
    <w:p w14:paraId="3178BE95"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color w:val="000000"/>
          <w:kern w:val="0"/>
          <w:sz w:val="28"/>
          <w:szCs w:val="28"/>
          <w14:ligatures w14:val="none"/>
        </w:rPr>
        <w:t>Скаржник додатково зазначив про невручення прокурором повідомлення про підозру. Згідно</w:t>
      </w:r>
      <w:r w:rsidRPr="00AD0994">
        <w:rPr>
          <w:rFonts w:ascii="Times New Roman" w:eastAsia="Calibri" w:hAnsi="Times New Roman" w:cs="Times New Roman"/>
          <w:kern w:val="0"/>
          <w:sz w:val="28"/>
          <w:szCs w:val="28"/>
          <w14:ligatures w14:val="none"/>
        </w:rPr>
        <w:t xml:space="preserve"> з КПК України повідомлення про підозру обов’язково здійснюється у випадках наявності достатніх доказів для підозри особи у вчиненні кримінального правопорушення. Водночас прокурор, здійснюючи свої повноваження, є самостійним у своїй процесуальній діяльності, а тому він у межах наданих йому законом повноважень ухвалює процесуальні рішення, зокрема щодо наявності або відсутності достатніх підстав для повідомлення </w:t>
      </w:r>
      <w:r w:rsidRPr="00AD0994">
        <w:rPr>
          <w:rFonts w:ascii="Times New Roman" w:eastAsia="Calibri" w:hAnsi="Times New Roman" w:cs="Times New Roman"/>
          <w:kern w:val="0"/>
          <w:sz w:val="28"/>
          <w:szCs w:val="28"/>
          <w14:ligatures w14:val="none"/>
        </w:rPr>
        <w:lastRenderedPageBreak/>
        <w:t>особі про підозру.</w:t>
      </w:r>
    </w:p>
    <w:p w14:paraId="00343AB7"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Окремо слід зазначити, що доводи скаржника щодо неправильної, на його думку, правової кваліфікації кримінального правопорушення стосуються процесуальної діяльності прокурора у межах досудового розслідування.</w:t>
      </w:r>
    </w:p>
    <w:p w14:paraId="6EBD3720"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Відповідно до статті 36 та пункту 5 частини 5 статті 214 КПК України прокурор є самостійним у своїй процесуальній діяльності, а до Єдиного реєстру досудових розслідувань вноситься саме попередня правова кваліфікація кримінального правопорушення, яка може бути уточнена або змінена в ході досудового розслідування з урахуванням установлених фактичних обставин. Аналогічний підхід викладено у постанові Касаційного кримінального суду у складі Верховного Суду від 26 лютого 2025 року у справі № 522/18784/21. За таких обставин сама по собі незгода скаржника з попередньою правовою кваліфікацією не свідчить про наявність ознак дисциплінарного проступку прокурора.</w:t>
      </w:r>
    </w:p>
    <w:p w14:paraId="6BF8ACC0" w14:textId="77777777" w:rsidR="00AD0994" w:rsidRPr="00AD0994" w:rsidRDefault="00AD0994" w:rsidP="00AD0994">
      <w:pPr>
        <w:widowControl w:val="0"/>
        <w:pBdr>
          <w:bottom w:val="single" w:sz="12" w:space="12" w:color="FFFFFF"/>
        </w:pBdr>
        <w:spacing w:after="0" w:line="240" w:lineRule="auto"/>
        <w:ind w:firstLine="708"/>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 xml:space="preserve">Скаржник також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3E084028"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bCs/>
          <w:kern w:val="0"/>
          <w:sz w:val="28"/>
          <w:szCs w:val="28"/>
          <w14:ligatures w14:val="none"/>
        </w:rPr>
      </w:pPr>
      <w:r w:rsidRPr="00AD0994">
        <w:rPr>
          <w:rFonts w:ascii="Times New Roman" w:eastAsia="Calibri" w:hAnsi="Times New Roman" w:cs="Times New Roman"/>
          <w:kern w:val="0"/>
          <w:sz w:val="28"/>
          <w:szCs w:val="28"/>
          <w14:ligatures w14:val="none"/>
        </w:rPr>
        <w:t>Ураховуючи те, що</w:t>
      </w:r>
      <w:r w:rsidRPr="00AD0994">
        <w:rPr>
          <w:rFonts w:ascii="Times New Roman" w:eastAsia="Calibri" w:hAnsi="Times New Roman" w:cs="Times New Roman"/>
          <w:bCs/>
          <w:kern w:val="0"/>
          <w:sz w:val="28"/>
          <w:szCs w:val="28"/>
          <w14:ligatures w14:val="none"/>
        </w:rPr>
        <w:t xml:space="preserve"> Комісія не може приймати рішень на підставі припущень, а скаржником </w:t>
      </w:r>
      <w:r w:rsidRPr="00AD0994">
        <w:rPr>
          <w:rFonts w:ascii="Times New Roman" w:eastAsia="Calibri" w:hAnsi="Times New Roman" w:cs="Times New Roman"/>
          <w:kern w:val="0"/>
          <w:sz w:val="28"/>
          <w:szCs w:val="28"/>
          <w14:ligatures w14:val="none"/>
        </w:rPr>
        <w:t xml:space="preserve">до дисциплінарної скарги не долучено жодних документів, якими у межах кримінального процесу встановлено порушення </w:t>
      </w:r>
      <w:r w:rsidRPr="00AD0994">
        <w:rPr>
          <w:rFonts w:ascii="Times New Roman" w:eastAsia="Calibri" w:hAnsi="Times New Roman" w:cs="Times New Roman"/>
          <w:color w:val="000000"/>
          <w:kern w:val="0"/>
          <w:sz w:val="28"/>
          <w:szCs w:val="28"/>
          <w14:ligatures w14:val="none"/>
        </w:rPr>
        <w:t xml:space="preserve">прокурором </w:t>
      </w:r>
      <w:r w:rsidRPr="00AD0994">
        <w:rPr>
          <w:rFonts w:ascii="Times New Roman" w:eastAsia="Calibri" w:hAnsi="Times New Roman" w:cs="Times New Roman"/>
          <w:kern w:val="0"/>
          <w:sz w:val="28"/>
          <w:szCs w:val="28"/>
          <w14:ligatures w14:val="none"/>
        </w:rPr>
        <w:t xml:space="preserve">Бражником В.І. службових обов’язків, а також факт порушення ним прав осіб або вимог закону, </w:t>
      </w:r>
      <w:r w:rsidRPr="00AD0994">
        <w:rPr>
          <w:rFonts w:ascii="Times New Roman" w:eastAsia="Calibri" w:hAnsi="Times New Roman" w:cs="Times New Roman"/>
          <w:bCs/>
          <w:kern w:val="0"/>
          <w:sz w:val="28"/>
          <w:szCs w:val="28"/>
          <w14:ligatures w14:val="none"/>
        </w:rPr>
        <w:t xml:space="preserve">відсутні підстави для відкриття дисциплінарного провадження за неналежне виконання ним службових обов’язків. </w:t>
      </w:r>
    </w:p>
    <w:p w14:paraId="5D92027D"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color w:val="000000"/>
          <w:kern w:val="0"/>
          <w:sz w:val="28"/>
          <w:szCs w:val="28"/>
          <w14:ligatures w14:val="none"/>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вчиненого прокурором </w:t>
      </w:r>
      <w:r w:rsidRPr="00AD0994">
        <w:rPr>
          <w:rFonts w:ascii="Times New Roman" w:eastAsia="Calibri" w:hAnsi="Times New Roman" w:cs="Times New Roman"/>
          <w:kern w:val="0"/>
          <w:sz w:val="28"/>
          <w:szCs w:val="28"/>
          <w14:ligatures w14:val="none"/>
        </w:rPr>
        <w:t xml:space="preserve">Бражником В.І. </w:t>
      </w:r>
    </w:p>
    <w:p w14:paraId="45766BF2"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bCs/>
          <w:kern w:val="0"/>
          <w:sz w:val="28"/>
          <w:szCs w:val="28"/>
          <w14:ligatures w14:val="none"/>
        </w:rPr>
      </w:pPr>
      <w:r w:rsidRPr="00AD0994">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B180A63" w14:textId="77777777" w:rsidR="00AD0994" w:rsidRPr="00AD0994" w:rsidRDefault="00AD0994" w:rsidP="00AD0994">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r w:rsidRPr="00AD0994">
        <w:rPr>
          <w:rFonts w:ascii="Times New Roman" w:eastAsia="Calibri" w:hAnsi="Times New Roman" w:cs="Times New Roman"/>
          <w:b/>
          <w:kern w:val="0"/>
          <w:sz w:val="28"/>
          <w:szCs w:val="28"/>
          <w14:ligatures w14:val="none"/>
        </w:rPr>
        <w:t>В И Р І Ш И В:</w:t>
      </w:r>
    </w:p>
    <w:p w14:paraId="14537240" w14:textId="77777777" w:rsidR="00AD0994" w:rsidRPr="00AD0994" w:rsidRDefault="00AD0994" w:rsidP="00AD0994">
      <w:pPr>
        <w:widowControl w:val="0"/>
        <w:tabs>
          <w:tab w:val="left" w:pos="851"/>
          <w:tab w:val="left" w:pos="993"/>
        </w:tabs>
        <w:spacing w:after="0" w:line="240" w:lineRule="auto"/>
        <w:ind w:firstLine="709"/>
        <w:jc w:val="center"/>
        <w:rPr>
          <w:rFonts w:ascii="Times New Roman" w:eastAsia="Calibri" w:hAnsi="Times New Roman" w:cs="Times New Roman"/>
          <w:b/>
          <w:kern w:val="0"/>
          <w:sz w:val="28"/>
          <w:szCs w:val="28"/>
          <w14:ligatures w14:val="none"/>
        </w:rPr>
      </w:pPr>
    </w:p>
    <w:p w14:paraId="6052C582" w14:textId="77777777" w:rsidR="00AD0994" w:rsidRPr="00AD0994" w:rsidRDefault="00AD0994" w:rsidP="00AD0994">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Pr="00AD0994">
        <w:rPr>
          <w:rFonts w:ascii="Times New Roman" w:eastAsia="Calibri" w:hAnsi="Times New Roman" w:cs="Times New Roman"/>
          <w:color w:val="000000"/>
          <w:kern w:val="0"/>
          <w:sz w:val="28"/>
          <w:szCs w:val="28"/>
          <w14:ligatures w14:val="none"/>
        </w:rPr>
        <w:t xml:space="preserve">начальника Переяславського відділу Бориспільської окружної прокуратури Київської області Бражника Валентина </w:t>
      </w:r>
      <w:proofErr w:type="spellStart"/>
      <w:r w:rsidRPr="00AD0994">
        <w:rPr>
          <w:rFonts w:ascii="Times New Roman" w:eastAsia="Calibri" w:hAnsi="Times New Roman" w:cs="Times New Roman"/>
          <w:color w:val="000000"/>
          <w:kern w:val="0"/>
          <w:sz w:val="28"/>
          <w:szCs w:val="28"/>
          <w14:ligatures w14:val="none"/>
        </w:rPr>
        <w:t>Ігоровича</w:t>
      </w:r>
      <w:proofErr w:type="spellEnd"/>
      <w:r w:rsidRPr="00AD0994">
        <w:rPr>
          <w:rFonts w:ascii="Times New Roman" w:eastAsia="Calibri" w:hAnsi="Times New Roman" w:cs="Times New Roman"/>
          <w:color w:val="000000"/>
          <w:kern w:val="0"/>
          <w:sz w:val="28"/>
          <w:szCs w:val="28"/>
          <w14:ligatures w14:val="none"/>
        </w:rPr>
        <w:t>.</w:t>
      </w:r>
    </w:p>
    <w:p w14:paraId="626FF845" w14:textId="77777777" w:rsidR="00AD0994" w:rsidRPr="00AD0994" w:rsidRDefault="00AD0994" w:rsidP="00AD0994">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Рішення направити скаржнику та прокурору.</w:t>
      </w:r>
    </w:p>
    <w:p w14:paraId="7C946C6B" w14:textId="77777777" w:rsidR="00AD0994" w:rsidRPr="00AD0994" w:rsidRDefault="00AD0994" w:rsidP="00AD0994">
      <w:pPr>
        <w:widowControl w:val="0"/>
        <w:tabs>
          <w:tab w:val="left" w:pos="851"/>
          <w:tab w:val="left" w:pos="993"/>
        </w:tabs>
        <w:spacing w:after="0" w:line="240" w:lineRule="auto"/>
        <w:ind w:firstLine="709"/>
        <w:jc w:val="both"/>
        <w:rPr>
          <w:rFonts w:ascii="Times New Roman" w:eastAsia="Calibri" w:hAnsi="Times New Roman" w:cs="Times New Roman"/>
          <w:kern w:val="0"/>
          <w:sz w:val="28"/>
          <w:szCs w:val="28"/>
          <w14:ligatures w14:val="none"/>
        </w:rPr>
      </w:pPr>
    </w:p>
    <w:p w14:paraId="651040A7" w14:textId="77777777" w:rsidR="00AD0994" w:rsidRPr="00AD0994" w:rsidRDefault="00AD0994" w:rsidP="00AD0994">
      <w:pPr>
        <w:widowControl w:val="0"/>
        <w:tabs>
          <w:tab w:val="left" w:pos="851"/>
        </w:tabs>
        <w:spacing w:after="0" w:line="240" w:lineRule="auto"/>
        <w:jc w:val="both"/>
        <w:rPr>
          <w:rFonts w:ascii="Times New Roman" w:eastAsia="Calibri" w:hAnsi="Times New Roman" w:cs="Times New Roman"/>
          <w:b/>
          <w:kern w:val="0"/>
          <w:sz w:val="28"/>
          <w:szCs w:val="28"/>
          <w14:ligatures w14:val="none"/>
        </w:rPr>
      </w:pPr>
      <w:r w:rsidRPr="00AD0994">
        <w:rPr>
          <w:rFonts w:ascii="Times New Roman" w:eastAsia="Calibri" w:hAnsi="Times New Roman" w:cs="Times New Roman"/>
          <w:b/>
          <w:kern w:val="0"/>
          <w:sz w:val="28"/>
          <w:szCs w:val="28"/>
          <w14:ligatures w14:val="none"/>
        </w:rPr>
        <w:t>Член Комісії                                                                                 Максим РАДЗІВОН</w:t>
      </w:r>
    </w:p>
    <w:p w14:paraId="3B8D2334"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color w:val="000000"/>
          <w:kern w:val="0"/>
          <w:sz w:val="28"/>
          <w:szCs w:val="28"/>
          <w:shd w:val="clear" w:color="auto" w:fill="FFFFFF"/>
          <w14:ligatures w14:val="none"/>
        </w:rPr>
      </w:pPr>
    </w:p>
    <w:p w14:paraId="308C683E"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1587F103"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p>
    <w:p w14:paraId="1B35B571" w14:textId="77777777" w:rsidR="00AD0994" w:rsidRPr="00AD0994" w:rsidRDefault="00AD0994" w:rsidP="00AD0994">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AD0994">
        <w:rPr>
          <w:rFonts w:ascii="Times New Roman" w:eastAsia="Calibri" w:hAnsi="Times New Roman" w:cs="Times New Roman"/>
          <w:kern w:val="0"/>
          <w:sz w:val="28"/>
          <w:szCs w:val="28"/>
          <w14:ligatures w14:val="none"/>
        </w:rPr>
        <w:t>.</w:t>
      </w:r>
    </w:p>
    <w:p w14:paraId="767E701D"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6B9FEDFC" w14:textId="77777777" w:rsidR="00AD0994" w:rsidRPr="00AD0994" w:rsidRDefault="00AD0994" w:rsidP="00AD0994">
      <w:pPr>
        <w:widowControl w:val="0"/>
        <w:tabs>
          <w:tab w:val="left" w:pos="993"/>
        </w:tabs>
        <w:spacing w:after="0" w:line="240" w:lineRule="auto"/>
        <w:ind w:firstLine="709"/>
        <w:jc w:val="both"/>
        <w:rPr>
          <w:rFonts w:ascii="Times New Roman" w:eastAsia="Calibri" w:hAnsi="Times New Roman" w:cs="Times New Roman"/>
          <w:color w:val="000000"/>
          <w:kern w:val="0"/>
          <w:sz w:val="28"/>
          <w:szCs w:val="28"/>
          <w14:ligatures w14:val="none"/>
        </w:rPr>
      </w:pPr>
    </w:p>
    <w:p w14:paraId="7179DAA6" w14:textId="77777777" w:rsidR="00AD0994" w:rsidRPr="00AD0994" w:rsidRDefault="00AD0994" w:rsidP="00AD0994">
      <w:pPr>
        <w:widowControl w:val="0"/>
        <w:tabs>
          <w:tab w:val="left" w:pos="851"/>
          <w:tab w:val="left" w:pos="993"/>
        </w:tabs>
        <w:spacing w:after="0" w:line="240" w:lineRule="auto"/>
        <w:ind w:firstLine="709"/>
        <w:jc w:val="both"/>
        <w:rPr>
          <w:rFonts w:ascii="Times New Roman" w:eastAsia="Calibri" w:hAnsi="Times New Roman" w:cs="Times New Roman"/>
          <w:bCs/>
          <w:color w:val="000000"/>
          <w:kern w:val="0"/>
          <w:sz w:val="28"/>
          <w:szCs w:val="28"/>
          <w14:ligatures w14:val="none"/>
        </w:rPr>
      </w:pPr>
    </w:p>
    <w:p w14:paraId="6AC6071E" w14:textId="77777777" w:rsidR="00AD0994" w:rsidRPr="00AD0994" w:rsidRDefault="00AD0994" w:rsidP="00AD0994">
      <w:pPr>
        <w:widowControl w:val="0"/>
        <w:pBdr>
          <w:bottom w:val="single" w:sz="12" w:space="12" w:color="FFFFFF"/>
        </w:pBdr>
        <w:spacing w:after="0" w:line="240" w:lineRule="auto"/>
        <w:ind w:firstLine="709"/>
        <w:jc w:val="both"/>
        <w:rPr>
          <w:rFonts w:ascii="Calibri" w:eastAsia="Calibri" w:hAnsi="Calibri" w:cs="Times New Roman"/>
          <w:kern w:val="0"/>
          <w:sz w:val="22"/>
          <w:szCs w:val="22"/>
          <w14:ligatures w14:val="none"/>
        </w:rPr>
      </w:pPr>
    </w:p>
    <w:p w14:paraId="4EA0BF0F" w14:textId="77777777" w:rsidR="00AD0994" w:rsidRDefault="00AD0994"/>
    <w:sectPr w:rsidR="00AD09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num w:numId="1" w16cid:durableId="86314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899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94"/>
    <w:rsid w:val="00762A90"/>
    <w:rsid w:val="00AD0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0EA5"/>
  <w15:chartTrackingRefBased/>
  <w15:docId w15:val="{88AD176F-832F-44BC-BF6C-50653734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D0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D0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D09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D09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D09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D09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D09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D09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D09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9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D09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D09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D09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D09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D09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D0994"/>
    <w:rPr>
      <w:rFonts w:eastAsiaTheme="majorEastAsia" w:cstheme="majorBidi"/>
      <w:color w:val="595959" w:themeColor="text1" w:themeTint="A6"/>
    </w:rPr>
  </w:style>
  <w:style w:type="character" w:customStyle="1" w:styleId="80">
    <w:name w:val="Заголовок 8 Знак"/>
    <w:basedOn w:val="a0"/>
    <w:link w:val="8"/>
    <w:uiPriority w:val="9"/>
    <w:semiHidden/>
    <w:rsid w:val="00AD09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D0994"/>
    <w:rPr>
      <w:rFonts w:eastAsiaTheme="majorEastAsia" w:cstheme="majorBidi"/>
      <w:color w:val="272727" w:themeColor="text1" w:themeTint="D8"/>
    </w:rPr>
  </w:style>
  <w:style w:type="paragraph" w:styleId="a3">
    <w:name w:val="Title"/>
    <w:basedOn w:val="a"/>
    <w:next w:val="a"/>
    <w:link w:val="a4"/>
    <w:uiPriority w:val="10"/>
    <w:qFormat/>
    <w:rsid w:val="00AD0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D09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099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D09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D0994"/>
    <w:pPr>
      <w:spacing w:before="160"/>
      <w:jc w:val="center"/>
    </w:pPr>
    <w:rPr>
      <w:i/>
      <w:iCs/>
      <w:color w:val="404040" w:themeColor="text1" w:themeTint="BF"/>
    </w:rPr>
  </w:style>
  <w:style w:type="character" w:customStyle="1" w:styleId="a8">
    <w:name w:val="Цитата Знак"/>
    <w:basedOn w:val="a0"/>
    <w:link w:val="a7"/>
    <w:uiPriority w:val="29"/>
    <w:rsid w:val="00AD0994"/>
    <w:rPr>
      <w:i/>
      <w:iCs/>
      <w:color w:val="404040" w:themeColor="text1" w:themeTint="BF"/>
    </w:rPr>
  </w:style>
  <w:style w:type="paragraph" w:styleId="a9">
    <w:name w:val="List Paragraph"/>
    <w:basedOn w:val="a"/>
    <w:uiPriority w:val="34"/>
    <w:qFormat/>
    <w:rsid w:val="00AD0994"/>
    <w:pPr>
      <w:ind w:left="720"/>
      <w:contextualSpacing/>
    </w:pPr>
  </w:style>
  <w:style w:type="character" w:styleId="aa">
    <w:name w:val="Intense Emphasis"/>
    <w:basedOn w:val="a0"/>
    <w:uiPriority w:val="21"/>
    <w:qFormat/>
    <w:rsid w:val="00AD0994"/>
    <w:rPr>
      <w:i/>
      <w:iCs/>
      <w:color w:val="0F4761" w:themeColor="accent1" w:themeShade="BF"/>
    </w:rPr>
  </w:style>
  <w:style w:type="paragraph" w:styleId="ab">
    <w:name w:val="Intense Quote"/>
    <w:basedOn w:val="a"/>
    <w:next w:val="a"/>
    <w:link w:val="ac"/>
    <w:uiPriority w:val="30"/>
    <w:qFormat/>
    <w:rsid w:val="00AD0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AD0994"/>
    <w:rPr>
      <w:i/>
      <w:iCs/>
      <w:color w:val="0F4761" w:themeColor="accent1" w:themeShade="BF"/>
    </w:rPr>
  </w:style>
  <w:style w:type="character" w:styleId="ad">
    <w:name w:val="Intense Reference"/>
    <w:basedOn w:val="a0"/>
    <w:uiPriority w:val="32"/>
    <w:qFormat/>
    <w:rsid w:val="00AD09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10200</Words>
  <Characters>5814</Characters>
  <DocSecurity>0</DocSecurity>
  <Lines>48</Lines>
  <Paragraphs>31</Paragraphs>
  <ScaleCrop>false</ScaleCrop>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2026-04-01T13:03:00Z</dcterms:created>
  <dcterms:modified xsi:type="dcterms:W3CDTF">2026-04-01T13:05:00Z</dcterms:modified>
</cp:coreProperties>
</file>