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4995D02" w14:textId="77777777" w:rsidTr="00884E47">
        <w:tc>
          <w:tcPr>
            <w:tcW w:w="3291" w:type="dxa"/>
          </w:tcPr>
          <w:p w14:paraId="1411F0AC" w14:textId="77777777" w:rsidR="00874162" w:rsidRPr="00EC4CF0" w:rsidRDefault="00874162" w:rsidP="00884E47">
            <w:pPr>
              <w:rPr>
                <w:rFonts w:ascii="Times New Roman" w:hAnsi="Times New Roman"/>
                <w:sz w:val="28"/>
                <w:szCs w:val="28"/>
                <w:lang w:val="en-US"/>
              </w:rPr>
            </w:pPr>
          </w:p>
        </w:tc>
        <w:tc>
          <w:tcPr>
            <w:tcW w:w="3314" w:type="dxa"/>
            <w:gridSpan w:val="3"/>
            <w:hideMark/>
          </w:tcPr>
          <w:p w14:paraId="0F4AAE16" w14:textId="77777777" w:rsidR="00874162" w:rsidRPr="00805DC3" w:rsidRDefault="00874162" w:rsidP="00884E47">
            <w:pPr>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F052CED" w14:textId="77777777" w:rsidR="00874162" w:rsidRPr="003C42F9" w:rsidRDefault="00874162" w:rsidP="00884E47">
            <w:pPr>
              <w:rPr>
                <w:rFonts w:ascii="Times New Roman" w:hAnsi="Times New Roman"/>
                <w:sz w:val="28"/>
                <w:szCs w:val="28"/>
              </w:rPr>
            </w:pPr>
          </w:p>
        </w:tc>
      </w:tr>
      <w:tr w:rsidR="00874162" w:rsidRPr="003C42F9" w14:paraId="5CF94FD4" w14:textId="77777777" w:rsidTr="00884E47">
        <w:trPr>
          <w:trHeight w:val="112"/>
        </w:trPr>
        <w:tc>
          <w:tcPr>
            <w:tcW w:w="9962" w:type="dxa"/>
            <w:gridSpan w:val="5"/>
          </w:tcPr>
          <w:p w14:paraId="4A91F88F" w14:textId="77777777" w:rsidR="00874162" w:rsidRPr="003C42F9" w:rsidRDefault="00874162" w:rsidP="00884E47">
            <w:pPr>
              <w:rPr>
                <w:rFonts w:ascii="Times New Roman" w:hAnsi="Times New Roman"/>
                <w:sz w:val="28"/>
                <w:szCs w:val="28"/>
              </w:rPr>
            </w:pPr>
          </w:p>
        </w:tc>
      </w:tr>
      <w:tr w:rsidR="00874162" w:rsidRPr="003C42F9" w14:paraId="1A78C9C4" w14:textId="77777777" w:rsidTr="00884E47">
        <w:tc>
          <w:tcPr>
            <w:tcW w:w="9962" w:type="dxa"/>
            <w:gridSpan w:val="5"/>
            <w:hideMark/>
          </w:tcPr>
          <w:p w14:paraId="63785599" w14:textId="77777777" w:rsidR="00874162" w:rsidRPr="00F44A6D" w:rsidRDefault="00874162" w:rsidP="00884E47">
            <w:pPr>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27E29705" w14:textId="77777777" w:rsidTr="00884E47">
        <w:tc>
          <w:tcPr>
            <w:tcW w:w="9962" w:type="dxa"/>
            <w:gridSpan w:val="5"/>
          </w:tcPr>
          <w:p w14:paraId="26E12F5C" w14:textId="77777777" w:rsidR="00874162" w:rsidRPr="003C42F9" w:rsidRDefault="00874162" w:rsidP="00884E47">
            <w:pPr>
              <w:rPr>
                <w:rFonts w:ascii="Times New Roman" w:hAnsi="Times New Roman"/>
                <w:sz w:val="28"/>
                <w:szCs w:val="28"/>
              </w:rPr>
            </w:pPr>
          </w:p>
        </w:tc>
      </w:tr>
      <w:tr w:rsidR="00874162" w:rsidRPr="003C42F9" w14:paraId="4DA13F86" w14:textId="77777777" w:rsidTr="00884E47">
        <w:tc>
          <w:tcPr>
            <w:tcW w:w="3400" w:type="dxa"/>
            <w:gridSpan w:val="2"/>
          </w:tcPr>
          <w:p w14:paraId="3AC84FF1" w14:textId="77777777" w:rsidR="00874162" w:rsidRPr="003C42F9" w:rsidRDefault="00874162" w:rsidP="00884E47">
            <w:pPr>
              <w:rPr>
                <w:rFonts w:ascii="Times New Roman" w:hAnsi="Times New Roman"/>
                <w:sz w:val="28"/>
                <w:szCs w:val="28"/>
              </w:rPr>
            </w:pPr>
          </w:p>
        </w:tc>
        <w:tc>
          <w:tcPr>
            <w:tcW w:w="3180" w:type="dxa"/>
            <w:hideMark/>
          </w:tcPr>
          <w:p w14:paraId="31AFA213" w14:textId="77777777" w:rsidR="00874162" w:rsidRPr="003C42F9" w:rsidRDefault="00874162" w:rsidP="00884E47">
            <w:pPr>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tcPr>
          <w:p w14:paraId="39E97E5B" w14:textId="77777777" w:rsidR="00874162" w:rsidRPr="003C42F9" w:rsidRDefault="00874162" w:rsidP="00884E47">
            <w:pPr>
              <w:rPr>
                <w:rFonts w:ascii="Times New Roman" w:hAnsi="Times New Roman"/>
                <w:sz w:val="28"/>
                <w:szCs w:val="28"/>
              </w:rPr>
            </w:pPr>
          </w:p>
        </w:tc>
      </w:tr>
      <w:tr w:rsidR="00874162" w:rsidRPr="003C42F9" w14:paraId="4D220925" w14:textId="77777777" w:rsidTr="00884E47">
        <w:tc>
          <w:tcPr>
            <w:tcW w:w="3400" w:type="dxa"/>
            <w:gridSpan w:val="2"/>
          </w:tcPr>
          <w:p w14:paraId="3E0EE90C" w14:textId="77777777" w:rsidR="00874162" w:rsidRDefault="00874162" w:rsidP="00884E47">
            <w:pPr>
              <w:rPr>
                <w:rFonts w:ascii="Times New Roman" w:hAnsi="Times New Roman"/>
                <w:sz w:val="28"/>
                <w:szCs w:val="28"/>
              </w:rPr>
            </w:pPr>
          </w:p>
          <w:p w14:paraId="5D0F4461" w14:textId="77777777" w:rsidR="00874162" w:rsidRPr="003C42F9" w:rsidRDefault="00874162" w:rsidP="00884E47">
            <w:pPr>
              <w:rPr>
                <w:rFonts w:ascii="Times New Roman" w:hAnsi="Times New Roman"/>
                <w:sz w:val="28"/>
                <w:szCs w:val="28"/>
              </w:rPr>
            </w:pPr>
          </w:p>
        </w:tc>
        <w:tc>
          <w:tcPr>
            <w:tcW w:w="3180" w:type="dxa"/>
          </w:tcPr>
          <w:p w14:paraId="2DBF20F8" w14:textId="77777777" w:rsidR="00874162" w:rsidRPr="003C42F9" w:rsidRDefault="00874162" w:rsidP="00884E47">
            <w:pPr>
              <w:rPr>
                <w:rFonts w:ascii="Times New Roman" w:hAnsi="Times New Roman"/>
                <w:sz w:val="28"/>
                <w:szCs w:val="28"/>
              </w:rPr>
            </w:pPr>
          </w:p>
        </w:tc>
        <w:tc>
          <w:tcPr>
            <w:tcW w:w="3382" w:type="dxa"/>
            <w:gridSpan w:val="2"/>
          </w:tcPr>
          <w:p w14:paraId="18609ADF" w14:textId="77777777" w:rsidR="00874162" w:rsidRPr="003C42F9" w:rsidRDefault="00874162" w:rsidP="00884E47">
            <w:pPr>
              <w:rPr>
                <w:rFonts w:ascii="Times New Roman" w:hAnsi="Times New Roman"/>
                <w:sz w:val="28"/>
                <w:szCs w:val="28"/>
              </w:rPr>
            </w:pPr>
          </w:p>
        </w:tc>
      </w:tr>
      <w:tr w:rsidR="00874162" w:rsidRPr="003C42F9" w14:paraId="4A539D96" w14:textId="77777777" w:rsidTr="00884E47">
        <w:tc>
          <w:tcPr>
            <w:tcW w:w="3400" w:type="dxa"/>
            <w:gridSpan w:val="2"/>
            <w:hideMark/>
          </w:tcPr>
          <w:p w14:paraId="2DC5A9C2" w14:textId="04A08853" w:rsidR="00874162" w:rsidRPr="006D7334" w:rsidRDefault="006D62F3" w:rsidP="005D30C7">
            <w:pPr>
              <w:rPr>
                <w:rFonts w:ascii="Times New Roman" w:hAnsi="Times New Roman"/>
                <w:b/>
                <w:sz w:val="28"/>
                <w:szCs w:val="28"/>
              </w:rPr>
            </w:pPr>
            <w:r>
              <w:rPr>
                <w:rFonts w:ascii="Times New Roman" w:hAnsi="Times New Roman"/>
                <w:b/>
                <w:sz w:val="28"/>
                <w:szCs w:val="28"/>
              </w:rPr>
              <w:t>31</w:t>
            </w:r>
            <w:r w:rsidR="00874162">
              <w:rPr>
                <w:rFonts w:ascii="Times New Roman" w:hAnsi="Times New Roman"/>
                <w:b/>
                <w:sz w:val="28"/>
                <w:szCs w:val="28"/>
              </w:rPr>
              <w:t xml:space="preserve"> </w:t>
            </w:r>
            <w:r w:rsidR="00AD349A">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w:t>
            </w:r>
            <w:r>
              <w:rPr>
                <w:rFonts w:ascii="Times New Roman" w:hAnsi="Times New Roman"/>
                <w:b/>
                <w:sz w:val="28"/>
                <w:szCs w:val="28"/>
              </w:rPr>
              <w:t>6</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130E3EBD" w14:textId="77777777" w:rsidR="00874162" w:rsidRPr="006D7334" w:rsidRDefault="00874162" w:rsidP="00884E47">
            <w:pPr>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489822C" w14:textId="11246701" w:rsidR="00874162" w:rsidRPr="006D7334" w:rsidRDefault="00874162" w:rsidP="00E030B7">
            <w:pPr>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6D62F3">
              <w:rPr>
                <w:rFonts w:ascii="Times New Roman" w:hAnsi="Times New Roman"/>
                <w:b/>
                <w:sz w:val="28"/>
                <w:szCs w:val="28"/>
              </w:rPr>
              <w:t>24</w:t>
            </w:r>
            <w:r w:rsidR="00E030B7">
              <w:rPr>
                <w:rFonts w:ascii="Times New Roman" w:hAnsi="Times New Roman"/>
                <w:b/>
                <w:sz w:val="28"/>
                <w:szCs w:val="28"/>
              </w:rPr>
              <w:t>6</w:t>
            </w:r>
            <w:r w:rsidRPr="00B000CB">
              <w:rPr>
                <w:rFonts w:ascii="Times New Roman" w:hAnsi="Times New Roman"/>
                <w:b/>
                <w:sz w:val="28"/>
                <w:szCs w:val="28"/>
              </w:rPr>
              <w:t>дс-2</w:t>
            </w:r>
            <w:r w:rsidR="006D62F3">
              <w:rPr>
                <w:rFonts w:ascii="Times New Roman" w:hAnsi="Times New Roman"/>
                <w:b/>
                <w:sz w:val="28"/>
                <w:szCs w:val="28"/>
              </w:rPr>
              <w:t>6</w:t>
            </w:r>
          </w:p>
        </w:tc>
      </w:tr>
    </w:tbl>
    <w:p w14:paraId="04D167E6" w14:textId="77777777" w:rsidR="00874162" w:rsidRPr="00586F94" w:rsidRDefault="00874162" w:rsidP="00874162">
      <w:pPr>
        <w:ind w:firstLine="567"/>
        <w:jc w:val="both"/>
        <w:rPr>
          <w:rFonts w:ascii="Times New Roman" w:hAnsi="Times New Roman"/>
          <w:noProof/>
          <w:sz w:val="28"/>
          <w:szCs w:val="28"/>
          <w:lang w:eastAsia="uk-UA"/>
        </w:rPr>
      </w:pPr>
    </w:p>
    <w:p w14:paraId="708BA550" w14:textId="77777777" w:rsidR="00874162" w:rsidRPr="00595D3B" w:rsidRDefault="00874162" w:rsidP="00874162">
      <w:pPr>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3851E832" w14:textId="77777777" w:rsidR="00874162" w:rsidRPr="00595D3B" w:rsidRDefault="00874162" w:rsidP="00874162">
      <w:pPr>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3945A300" w14:textId="77777777" w:rsidR="00874162" w:rsidRPr="00595D3B" w:rsidRDefault="00874162" w:rsidP="00874162">
      <w:pPr>
        <w:ind w:firstLine="567"/>
        <w:jc w:val="both"/>
        <w:rPr>
          <w:rFonts w:ascii="Times New Roman" w:hAnsi="Times New Roman"/>
          <w:noProof/>
          <w:sz w:val="28"/>
          <w:szCs w:val="28"/>
          <w:lang w:eastAsia="uk-UA"/>
        </w:rPr>
      </w:pPr>
    </w:p>
    <w:p w14:paraId="555F7649" w14:textId="4E55B7FB" w:rsidR="009145F0"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376B79">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187EC3" w:rsidRPr="00187EC3">
        <w:rPr>
          <w:rFonts w:ascii="Times New Roman" w:hAnsi="Times New Roman"/>
          <w:sz w:val="28"/>
          <w:szCs w:val="28"/>
        </w:rPr>
        <w:t>прокурор</w:t>
      </w:r>
      <w:r w:rsidR="00187EC3">
        <w:rPr>
          <w:rFonts w:ascii="Times New Roman" w:hAnsi="Times New Roman"/>
          <w:sz w:val="28"/>
          <w:szCs w:val="28"/>
        </w:rPr>
        <w:t>а</w:t>
      </w:r>
      <w:r w:rsidR="00187EC3" w:rsidRPr="00187EC3">
        <w:rPr>
          <w:rFonts w:ascii="Times New Roman" w:hAnsi="Times New Roman"/>
          <w:sz w:val="28"/>
          <w:szCs w:val="28"/>
        </w:rPr>
        <w:t xml:space="preserve"> </w:t>
      </w:r>
      <w:r w:rsidR="006D62F3">
        <w:rPr>
          <w:rFonts w:ascii="Times New Roman" w:hAnsi="Times New Roman"/>
          <w:sz w:val="28"/>
          <w:szCs w:val="28"/>
        </w:rPr>
        <w:t xml:space="preserve">третього </w:t>
      </w:r>
      <w:r w:rsidR="00187EC3" w:rsidRPr="00187EC3">
        <w:rPr>
          <w:rFonts w:ascii="Times New Roman" w:hAnsi="Times New Roman"/>
          <w:sz w:val="28"/>
          <w:szCs w:val="28"/>
        </w:rPr>
        <w:t xml:space="preserve">відділу </w:t>
      </w:r>
      <w:r w:rsidR="006D62F3">
        <w:rPr>
          <w:rFonts w:ascii="Times New Roman" w:hAnsi="Times New Roman"/>
          <w:sz w:val="28"/>
          <w:szCs w:val="28"/>
        </w:rPr>
        <w:t>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Синюка Дмитра Олександр</w:t>
      </w:r>
      <w:r w:rsidR="00187EC3" w:rsidRPr="00187EC3">
        <w:rPr>
          <w:rFonts w:ascii="Times New Roman" w:hAnsi="Times New Roman"/>
          <w:sz w:val="28"/>
          <w:szCs w:val="28"/>
        </w:rPr>
        <w:t>ович</w:t>
      </w:r>
      <w:r w:rsidR="00187EC3">
        <w:rPr>
          <w:rFonts w:ascii="Times New Roman" w:hAnsi="Times New Roman"/>
          <w:sz w:val="28"/>
          <w:szCs w:val="28"/>
        </w:rPr>
        <w:t>а</w:t>
      </w:r>
      <w:r w:rsidR="00187EC3" w:rsidRPr="00187EC3">
        <w:rPr>
          <w:rFonts w:ascii="Times New Roman" w:hAnsi="Times New Roman"/>
          <w:sz w:val="28"/>
          <w:szCs w:val="28"/>
        </w:rPr>
        <w:t xml:space="preserve">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6D62F3">
        <w:rPr>
          <w:rFonts w:ascii="Times New Roman" w:hAnsi="Times New Roman"/>
          <w:sz w:val="28"/>
          <w:szCs w:val="28"/>
        </w:rPr>
        <w:t>Синюк Д</w:t>
      </w:r>
      <w:r w:rsidR="00187EC3">
        <w:rPr>
          <w:rFonts w:ascii="Times New Roman" w:hAnsi="Times New Roman"/>
          <w:sz w:val="28"/>
          <w:szCs w:val="28"/>
        </w:rPr>
        <w:t>.</w:t>
      </w:r>
      <w:r w:rsidR="00187EC3" w:rsidRPr="00187EC3">
        <w:rPr>
          <w:rFonts w:ascii="Times New Roman" w:hAnsi="Times New Roman"/>
          <w:sz w:val="28"/>
          <w:szCs w:val="28"/>
        </w:rPr>
        <w:t>О</w:t>
      </w:r>
      <w:r w:rsidR="00187EC3">
        <w:rPr>
          <w:rFonts w:ascii="Times New Roman" w:hAnsi="Times New Roman"/>
          <w:sz w:val="28"/>
          <w:szCs w:val="28"/>
        </w:rPr>
        <w:t>.</w:t>
      </w:r>
      <w:r w:rsidRPr="00595D3B">
        <w:rPr>
          <w:rFonts w:ascii="Times New Roman" w:hAnsi="Times New Roman"/>
          <w:sz w:val="28"/>
          <w:szCs w:val="28"/>
        </w:rPr>
        <w:t>),</w:t>
      </w:r>
    </w:p>
    <w:p w14:paraId="4DCD9255" w14:textId="77777777" w:rsidR="00376B79" w:rsidRPr="00E030B7" w:rsidRDefault="00376B79" w:rsidP="00874162">
      <w:pPr>
        <w:ind w:firstLine="567"/>
        <w:jc w:val="both"/>
        <w:rPr>
          <w:rFonts w:ascii="Times New Roman" w:hAnsi="Times New Roman"/>
          <w:sz w:val="24"/>
          <w:szCs w:val="24"/>
        </w:rPr>
      </w:pPr>
    </w:p>
    <w:p w14:paraId="4A49ABBB" w14:textId="77777777" w:rsidR="00874162" w:rsidRPr="00595D3B" w:rsidRDefault="00874162" w:rsidP="00874162">
      <w:pPr>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074DFD47" w14:textId="77777777" w:rsidR="00874162" w:rsidRPr="00F65DFF" w:rsidRDefault="00874162" w:rsidP="00874162">
      <w:pPr>
        <w:ind w:firstLine="567"/>
        <w:jc w:val="both"/>
        <w:rPr>
          <w:rFonts w:ascii="Times New Roman" w:hAnsi="Times New Roman"/>
          <w:noProof/>
          <w:sz w:val="24"/>
          <w:szCs w:val="24"/>
          <w:lang w:eastAsia="uk-UA"/>
        </w:rPr>
      </w:pPr>
    </w:p>
    <w:p w14:paraId="55FA4630" w14:textId="548EC955"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376B79">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6D62F3">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6D62F3">
        <w:rPr>
          <w:rFonts w:ascii="Times New Roman" w:hAnsi="Times New Roman"/>
          <w:sz w:val="28"/>
          <w:szCs w:val="28"/>
        </w:rPr>
        <w:t>Синюком Д.</w:t>
      </w:r>
      <w:r w:rsidR="006D62F3" w:rsidRPr="00187EC3">
        <w:rPr>
          <w:rFonts w:ascii="Times New Roman" w:hAnsi="Times New Roman"/>
          <w:sz w:val="28"/>
          <w:szCs w:val="28"/>
        </w:rPr>
        <w:t>О</w:t>
      </w:r>
      <w:r w:rsidRPr="00595D3B">
        <w:rPr>
          <w:rFonts w:ascii="Times New Roman" w:hAnsi="Times New Roman"/>
          <w:sz w:val="28"/>
          <w:szCs w:val="28"/>
        </w:rPr>
        <w:t>.</w:t>
      </w:r>
    </w:p>
    <w:p w14:paraId="7D637E85" w14:textId="5972DC21"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9145F0">
        <w:rPr>
          <w:rFonts w:ascii="Times New Roman" w:hAnsi="Times New Roman"/>
          <w:sz w:val="28"/>
          <w:szCs w:val="28"/>
        </w:rPr>
        <w:t>2</w:t>
      </w:r>
      <w:r w:rsidR="006D62F3">
        <w:rPr>
          <w:rFonts w:ascii="Times New Roman" w:hAnsi="Times New Roman"/>
          <w:sz w:val="28"/>
          <w:szCs w:val="28"/>
        </w:rPr>
        <w:t>3</w:t>
      </w:r>
      <w:r w:rsidRPr="00595D3B">
        <w:rPr>
          <w:rFonts w:ascii="Times New Roman" w:hAnsi="Times New Roman"/>
          <w:sz w:val="28"/>
          <w:szCs w:val="28"/>
        </w:rPr>
        <w:t xml:space="preserve"> </w:t>
      </w:r>
      <w:r w:rsidR="006D62F3">
        <w:rPr>
          <w:rFonts w:ascii="Times New Roman" w:hAnsi="Times New Roman"/>
          <w:sz w:val="28"/>
          <w:szCs w:val="28"/>
        </w:rPr>
        <w:t>березня</w:t>
      </w:r>
      <w:r w:rsidRPr="00595D3B">
        <w:rPr>
          <w:rFonts w:ascii="Times New Roman" w:hAnsi="Times New Roman"/>
          <w:sz w:val="28"/>
          <w:szCs w:val="28"/>
        </w:rPr>
        <w:t xml:space="preserve"> 202</w:t>
      </w:r>
      <w:r w:rsidR="006D62F3">
        <w:rPr>
          <w:rFonts w:ascii="Times New Roman" w:hAnsi="Times New Roman"/>
          <w:sz w:val="28"/>
          <w:szCs w:val="28"/>
        </w:rPr>
        <w:t>6</w:t>
      </w:r>
      <w:r w:rsidRPr="00595D3B">
        <w:rPr>
          <w:rFonts w:ascii="Times New Roman" w:hAnsi="Times New Roman"/>
          <w:sz w:val="28"/>
          <w:szCs w:val="28"/>
        </w:rPr>
        <w:t xml:space="preserve"> року). </w:t>
      </w:r>
    </w:p>
    <w:p w14:paraId="6CF9A169" w14:textId="77777777"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3FB224F7" w14:textId="77777777" w:rsidR="00874162" w:rsidRPr="00F65DFF" w:rsidRDefault="00874162" w:rsidP="00874162">
      <w:pPr>
        <w:ind w:firstLine="567"/>
        <w:jc w:val="both"/>
        <w:rPr>
          <w:rFonts w:ascii="Times New Roman" w:hAnsi="Times New Roman"/>
          <w:b/>
          <w:sz w:val="24"/>
          <w:szCs w:val="24"/>
        </w:rPr>
      </w:pPr>
      <w:r w:rsidRPr="00F65DFF">
        <w:rPr>
          <w:rFonts w:ascii="Times New Roman" w:hAnsi="Times New Roman"/>
          <w:b/>
          <w:sz w:val="24"/>
          <w:szCs w:val="24"/>
        </w:rPr>
        <w:tab/>
      </w:r>
    </w:p>
    <w:p w14:paraId="30410042"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428F196D" w14:textId="481FEA43" w:rsidR="00295F80"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295F80">
        <w:rPr>
          <w:rFonts w:ascii="Times New Roman" w:hAnsi="Times New Roman"/>
          <w:sz w:val="28"/>
          <w:szCs w:val="28"/>
        </w:rPr>
        <w:t xml:space="preserve">Головним слідчим управлінням Національної поліції України здійснюється досудове розслідування </w:t>
      </w:r>
      <w:r w:rsidR="00295F80" w:rsidRPr="00595D3B">
        <w:rPr>
          <w:rFonts w:ascii="Times New Roman" w:hAnsi="Times New Roman"/>
          <w:sz w:val="28"/>
          <w:szCs w:val="28"/>
        </w:rPr>
        <w:t>у кримінальному провадженні №</w:t>
      </w:r>
      <w:r w:rsidR="00295F80">
        <w:rPr>
          <w:rFonts w:ascii="Times New Roman" w:hAnsi="Times New Roman"/>
          <w:sz w:val="28"/>
          <w:szCs w:val="28"/>
        </w:rPr>
        <w:t> </w:t>
      </w:r>
      <w:r w:rsidR="00376B79">
        <w:rPr>
          <w:rFonts w:ascii="Times New Roman" w:hAnsi="Times New Roman"/>
          <w:sz w:val="28"/>
          <w:szCs w:val="28"/>
        </w:rPr>
        <w:t>(конфіденційна інформація)</w:t>
      </w:r>
      <w:r w:rsidR="00295F80">
        <w:rPr>
          <w:rFonts w:ascii="Times New Roman" w:hAnsi="Times New Roman"/>
          <w:sz w:val="28"/>
          <w:szCs w:val="28"/>
        </w:rPr>
        <w:t xml:space="preserve"> від 10 липня 2025 року</w:t>
      </w:r>
      <w:r w:rsidR="00295F80" w:rsidRPr="00295F80">
        <w:rPr>
          <w:rFonts w:ascii="Times New Roman" w:hAnsi="Times New Roman"/>
          <w:sz w:val="28"/>
          <w:szCs w:val="28"/>
        </w:rPr>
        <w:t xml:space="preserve"> </w:t>
      </w:r>
      <w:r w:rsidR="00295F80">
        <w:rPr>
          <w:rFonts w:ascii="Times New Roman" w:hAnsi="Times New Roman"/>
          <w:sz w:val="28"/>
          <w:szCs w:val="28"/>
        </w:rPr>
        <w:t>за ознаками кримінальних правопорушень, передбачених частиною першою статті 358, частиною четвертою стат</w:t>
      </w:r>
      <w:r w:rsidR="00043A18">
        <w:rPr>
          <w:rFonts w:ascii="Times New Roman" w:hAnsi="Times New Roman"/>
          <w:sz w:val="28"/>
          <w:szCs w:val="28"/>
        </w:rPr>
        <w:t>т</w:t>
      </w:r>
      <w:r w:rsidR="00295F80">
        <w:rPr>
          <w:rFonts w:ascii="Times New Roman" w:hAnsi="Times New Roman"/>
          <w:sz w:val="28"/>
          <w:szCs w:val="28"/>
        </w:rPr>
        <w:t>і 409, частиною першою статті 111-2 Кримінального кодексу України (далі – КК України)</w:t>
      </w:r>
      <w:r w:rsidR="008F0D5E">
        <w:rPr>
          <w:rFonts w:ascii="Times New Roman" w:hAnsi="Times New Roman"/>
          <w:sz w:val="28"/>
          <w:szCs w:val="28"/>
        </w:rPr>
        <w:t>, яке виділено з інших кримінальних проваджень</w:t>
      </w:r>
      <w:r w:rsidR="00295F80" w:rsidRPr="00595D3B">
        <w:rPr>
          <w:rFonts w:ascii="Times New Roman" w:hAnsi="Times New Roman"/>
          <w:sz w:val="28"/>
          <w:szCs w:val="28"/>
        </w:rPr>
        <w:t>.</w:t>
      </w:r>
    </w:p>
    <w:p w14:paraId="7F317B2C" w14:textId="42BE88E7" w:rsidR="00295F80" w:rsidRDefault="00083D30" w:rsidP="00874162">
      <w:pPr>
        <w:ind w:firstLine="567"/>
        <w:jc w:val="both"/>
        <w:rPr>
          <w:rFonts w:ascii="Times New Roman" w:hAnsi="Times New Roman"/>
          <w:sz w:val="28"/>
          <w:szCs w:val="28"/>
        </w:rPr>
      </w:pPr>
      <w:r>
        <w:rPr>
          <w:rFonts w:ascii="Times New Roman" w:hAnsi="Times New Roman"/>
          <w:sz w:val="28"/>
          <w:szCs w:val="28"/>
        </w:rPr>
        <w:t>На переконання скаржника, за процесуального керівництва прокурора Синюка Д.</w:t>
      </w:r>
      <w:r w:rsidRPr="00187EC3">
        <w:rPr>
          <w:rFonts w:ascii="Times New Roman" w:hAnsi="Times New Roman"/>
          <w:sz w:val="28"/>
          <w:szCs w:val="28"/>
        </w:rPr>
        <w:t>О</w:t>
      </w:r>
      <w:r>
        <w:rPr>
          <w:rFonts w:ascii="Times New Roman" w:hAnsi="Times New Roman"/>
          <w:sz w:val="28"/>
          <w:szCs w:val="28"/>
        </w:rPr>
        <w:t>. у січні 2025 року на підставі штучно створених матеріалів правоохоронних органів, не зібравши та не перевіривши наявну інформацію, проведен</w:t>
      </w:r>
      <w:r w:rsidR="00A8476A">
        <w:rPr>
          <w:rFonts w:ascii="Times New Roman" w:hAnsi="Times New Roman"/>
          <w:sz w:val="28"/>
          <w:szCs w:val="28"/>
        </w:rPr>
        <w:t>о</w:t>
      </w:r>
      <w:r>
        <w:rPr>
          <w:rFonts w:ascii="Times New Roman" w:hAnsi="Times New Roman"/>
          <w:sz w:val="28"/>
          <w:szCs w:val="28"/>
        </w:rPr>
        <w:t xml:space="preserve"> обшуки за місцем його проживання та близьких родичів дружини, </w:t>
      </w:r>
      <w:r>
        <w:rPr>
          <w:rFonts w:ascii="Times New Roman" w:hAnsi="Times New Roman"/>
          <w:sz w:val="28"/>
          <w:szCs w:val="28"/>
        </w:rPr>
        <w:br/>
        <w:t xml:space="preserve">в офісах </w:t>
      </w:r>
      <w:r w:rsidR="00894507">
        <w:rPr>
          <w:rFonts w:ascii="Times New Roman" w:hAnsi="Times New Roman"/>
          <w:sz w:val="28"/>
          <w:szCs w:val="28"/>
        </w:rPr>
        <w:t>т</w:t>
      </w:r>
      <w:r>
        <w:rPr>
          <w:rFonts w:ascii="Times New Roman" w:hAnsi="Times New Roman"/>
          <w:sz w:val="28"/>
          <w:szCs w:val="28"/>
        </w:rPr>
        <w:t xml:space="preserve">овариств з обмеженою відповідальністю </w:t>
      </w:r>
      <w:r w:rsidR="00376B79">
        <w:rPr>
          <w:rFonts w:ascii="Times New Roman" w:hAnsi="Times New Roman"/>
          <w:sz w:val="28"/>
          <w:szCs w:val="28"/>
        </w:rPr>
        <w:t>(конфіденційна інформація)</w:t>
      </w:r>
      <w:r>
        <w:rPr>
          <w:rFonts w:ascii="Times New Roman" w:hAnsi="Times New Roman"/>
          <w:sz w:val="28"/>
          <w:szCs w:val="28"/>
        </w:rPr>
        <w:t xml:space="preserve">, </w:t>
      </w:r>
      <w:r w:rsidR="00376B79">
        <w:rPr>
          <w:rFonts w:ascii="Times New Roman" w:hAnsi="Times New Roman"/>
          <w:sz w:val="28"/>
          <w:szCs w:val="28"/>
        </w:rPr>
        <w:t>(конфіденційна інформація)</w:t>
      </w:r>
      <w:r>
        <w:rPr>
          <w:rFonts w:ascii="Times New Roman" w:hAnsi="Times New Roman"/>
          <w:sz w:val="28"/>
          <w:szCs w:val="28"/>
        </w:rPr>
        <w:t xml:space="preserve">, </w:t>
      </w:r>
      <w:r w:rsidR="00376B79">
        <w:rPr>
          <w:rFonts w:ascii="Times New Roman" w:hAnsi="Times New Roman"/>
          <w:sz w:val="28"/>
          <w:szCs w:val="28"/>
        </w:rPr>
        <w:t>(конфіденційна інформація)</w:t>
      </w:r>
      <w:r>
        <w:rPr>
          <w:rFonts w:ascii="Times New Roman" w:hAnsi="Times New Roman"/>
          <w:sz w:val="28"/>
          <w:szCs w:val="28"/>
        </w:rPr>
        <w:t>, засновником яких є скаржник, з метою його залякування.</w:t>
      </w:r>
    </w:p>
    <w:p w14:paraId="61B9B60B" w14:textId="34722B3C" w:rsidR="00083D30" w:rsidRDefault="00303E9B" w:rsidP="00874162">
      <w:pPr>
        <w:ind w:firstLine="567"/>
        <w:jc w:val="both"/>
        <w:rPr>
          <w:rFonts w:ascii="Times New Roman" w:hAnsi="Times New Roman"/>
          <w:sz w:val="28"/>
          <w:szCs w:val="28"/>
        </w:rPr>
      </w:pPr>
      <w:r>
        <w:rPr>
          <w:rFonts w:ascii="Times New Roman" w:hAnsi="Times New Roman"/>
          <w:sz w:val="28"/>
          <w:szCs w:val="28"/>
        </w:rPr>
        <w:lastRenderedPageBreak/>
        <w:t>Також</w:t>
      </w:r>
      <w:r w:rsidR="00BC5ED7">
        <w:rPr>
          <w:rFonts w:ascii="Times New Roman" w:hAnsi="Times New Roman"/>
          <w:sz w:val="28"/>
          <w:szCs w:val="28"/>
        </w:rPr>
        <w:t>,</w:t>
      </w:r>
      <w:r>
        <w:rPr>
          <w:rFonts w:ascii="Times New Roman" w:hAnsi="Times New Roman"/>
          <w:sz w:val="28"/>
          <w:szCs w:val="28"/>
        </w:rPr>
        <w:t xml:space="preserve"> на думку скаржника, неналежне виконання своїх службових обов’язків </w:t>
      </w:r>
      <w:r w:rsidR="004A3000">
        <w:rPr>
          <w:rFonts w:ascii="Times New Roman" w:hAnsi="Times New Roman"/>
          <w:sz w:val="28"/>
          <w:szCs w:val="28"/>
        </w:rPr>
        <w:t>прокурор</w:t>
      </w:r>
      <w:r w:rsidR="00A95C61">
        <w:rPr>
          <w:rFonts w:ascii="Times New Roman" w:hAnsi="Times New Roman"/>
          <w:sz w:val="28"/>
          <w:szCs w:val="28"/>
        </w:rPr>
        <w:t>ом</w:t>
      </w:r>
      <w:r w:rsidR="004A3000">
        <w:rPr>
          <w:rFonts w:ascii="Times New Roman" w:hAnsi="Times New Roman"/>
          <w:sz w:val="28"/>
          <w:szCs w:val="28"/>
        </w:rPr>
        <w:t xml:space="preserve"> Синюк</w:t>
      </w:r>
      <w:r w:rsidR="00A95C61">
        <w:rPr>
          <w:rFonts w:ascii="Times New Roman" w:hAnsi="Times New Roman"/>
          <w:sz w:val="28"/>
          <w:szCs w:val="28"/>
        </w:rPr>
        <w:t>ом</w:t>
      </w:r>
      <w:r w:rsidR="004A3000">
        <w:rPr>
          <w:rFonts w:ascii="Times New Roman" w:hAnsi="Times New Roman"/>
          <w:sz w:val="28"/>
          <w:szCs w:val="28"/>
        </w:rPr>
        <w:t> Д.</w:t>
      </w:r>
      <w:r w:rsidR="004A3000" w:rsidRPr="00187EC3">
        <w:rPr>
          <w:rFonts w:ascii="Times New Roman" w:hAnsi="Times New Roman"/>
          <w:sz w:val="28"/>
          <w:szCs w:val="28"/>
        </w:rPr>
        <w:t>О</w:t>
      </w:r>
      <w:r w:rsidR="004A3000">
        <w:rPr>
          <w:rFonts w:ascii="Times New Roman" w:hAnsi="Times New Roman"/>
          <w:sz w:val="28"/>
          <w:szCs w:val="28"/>
        </w:rPr>
        <w:t xml:space="preserve">. полягає у безпідставному санкціонуванні внесення до Єдиного реєстру досудових розслідувань кримінальних проваджень з надуманою фабулою, ненаданні вказівок слідчому про повернення вилученого майна під час обшуків, ігноруванні фактів неефективного розслідування, </w:t>
      </w:r>
      <w:r w:rsidR="004A3000">
        <w:rPr>
          <w:rFonts w:ascii="Times New Roman" w:hAnsi="Times New Roman"/>
          <w:sz w:val="28"/>
          <w:szCs w:val="28"/>
        </w:rPr>
        <w:br/>
        <w:t>ненаданні вказівок щодо прийняття рішення про закриття кримінального провадження.</w:t>
      </w:r>
    </w:p>
    <w:p w14:paraId="357F3172" w14:textId="77777777" w:rsidR="00874162" w:rsidRPr="00A333B3" w:rsidRDefault="00874162" w:rsidP="00874162">
      <w:pPr>
        <w:tabs>
          <w:tab w:val="left" w:pos="567"/>
        </w:tabs>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их</w:t>
      </w:r>
      <w:r w:rsidRPr="00A333B3">
        <w:rPr>
          <w:rFonts w:ascii="Times New Roman" w:hAnsi="Times New Roman"/>
          <w:sz w:val="28"/>
          <w:szCs w:val="28"/>
        </w:rPr>
        <w:t>, прокурор</w:t>
      </w:r>
      <w:r>
        <w:rPr>
          <w:rFonts w:ascii="Times New Roman" w:hAnsi="Times New Roman"/>
          <w:sz w:val="28"/>
          <w:szCs w:val="28"/>
        </w:rPr>
        <w:t>ів</w:t>
      </w:r>
      <w:r w:rsidRPr="00A333B3">
        <w:rPr>
          <w:rFonts w:ascii="Times New Roman" w:hAnsi="Times New Roman"/>
          <w:sz w:val="28"/>
          <w:szCs w:val="28"/>
        </w:rPr>
        <w:t xml:space="preserve"> тощо.</w:t>
      </w:r>
    </w:p>
    <w:p w14:paraId="6B98BDF9" w14:textId="45CD1507" w:rsidR="009D03F5" w:rsidRPr="00DA2571" w:rsidRDefault="009D03F5" w:rsidP="009D03F5">
      <w:pPr>
        <w:tabs>
          <w:tab w:val="left" w:pos="567"/>
        </w:tabs>
        <w:ind w:firstLine="709"/>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вважав, що прокурор </w:t>
      </w:r>
      <w:r w:rsidR="004A3000">
        <w:rPr>
          <w:rFonts w:ascii="Times New Roman" w:hAnsi="Times New Roman"/>
          <w:sz w:val="28"/>
          <w:szCs w:val="28"/>
        </w:rPr>
        <w:t>Синюк Д.</w:t>
      </w:r>
      <w:r w:rsidR="004A3000" w:rsidRPr="00187EC3">
        <w:rPr>
          <w:rFonts w:ascii="Times New Roman" w:hAnsi="Times New Roman"/>
          <w:sz w:val="28"/>
          <w:szCs w:val="28"/>
        </w:rPr>
        <w:t>О</w:t>
      </w:r>
      <w:r w:rsidR="004A3000">
        <w:rPr>
          <w:rFonts w:ascii="Times New Roman" w:hAnsi="Times New Roman"/>
          <w:sz w:val="28"/>
          <w:szCs w:val="28"/>
        </w:rPr>
        <w:t xml:space="preserve">. </w:t>
      </w:r>
      <w:r>
        <w:rPr>
          <w:rFonts w:ascii="Times New Roman" w:hAnsi="Times New Roman"/>
          <w:sz w:val="28"/>
          <w:szCs w:val="28"/>
        </w:rPr>
        <w:t>підляга</w:t>
      </w:r>
      <w:r w:rsidR="004A3000">
        <w:rPr>
          <w:rFonts w:ascii="Times New Roman" w:hAnsi="Times New Roman"/>
          <w:sz w:val="28"/>
          <w:szCs w:val="28"/>
        </w:rPr>
        <w:t>є</w:t>
      </w:r>
      <w:r>
        <w:rPr>
          <w:rFonts w:ascii="Times New Roman" w:hAnsi="Times New Roman"/>
          <w:sz w:val="28"/>
          <w:szCs w:val="28"/>
        </w:rPr>
        <w:t xml:space="preserve"> притягненню до дисциплінарної відповідальності на підставі пункту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4A3000">
        <w:rPr>
          <w:rFonts w:ascii="Times New Roman" w:eastAsiaTheme="minorHAnsi" w:hAnsi="Times New Roman" w:cstheme="minorBidi"/>
          <w:color w:val="000000"/>
          <w:spacing w:val="-2"/>
          <w:sz w:val="28"/>
          <w:szCs w:val="28"/>
          <w:shd w:val="clear" w:color="auto" w:fill="FFFFFF"/>
        </w:rPr>
        <w:t>, 2 (нео</w:t>
      </w:r>
      <w:r w:rsidR="00C36E45">
        <w:rPr>
          <w:rFonts w:ascii="Times New Roman" w:eastAsiaTheme="minorHAnsi" w:hAnsi="Times New Roman" w:cstheme="minorBidi"/>
          <w:color w:val="000000"/>
          <w:spacing w:val="-2"/>
          <w:sz w:val="28"/>
          <w:szCs w:val="28"/>
          <w:shd w:val="clear" w:color="auto" w:fill="FFFFFF"/>
        </w:rPr>
        <w:t>б</w:t>
      </w:r>
      <w:r w:rsidR="004A3000">
        <w:rPr>
          <w:rFonts w:ascii="Times New Roman" w:eastAsiaTheme="minorHAnsi" w:hAnsi="Times New Roman" w:cstheme="minorBidi"/>
          <w:color w:val="000000"/>
          <w:spacing w:val="-2"/>
          <w:sz w:val="28"/>
          <w:szCs w:val="28"/>
          <w:shd w:val="clear" w:color="auto" w:fill="FFFFFF"/>
        </w:rPr>
        <w:t>ґрунтоване зволікання з розглядом звернення) та 9 (публічне висловлювання, яке є порушенням презумпції невинуватості)</w:t>
      </w:r>
      <w:r>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5DBCF84F" w14:textId="77777777" w:rsidR="00874162" w:rsidRPr="00F65DFF" w:rsidRDefault="00874162" w:rsidP="00874162">
      <w:pPr>
        <w:ind w:firstLine="567"/>
        <w:jc w:val="both"/>
        <w:rPr>
          <w:rFonts w:ascii="Times New Roman" w:hAnsi="Times New Roman"/>
          <w:b/>
          <w:sz w:val="24"/>
          <w:szCs w:val="24"/>
        </w:rPr>
      </w:pPr>
    </w:p>
    <w:p w14:paraId="358EDC78"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44ACC567" w14:textId="0577F0AD" w:rsidR="00874162" w:rsidRDefault="00874162" w:rsidP="009215E2">
      <w:pPr>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9215E2">
        <w:rPr>
          <w:rFonts w:ascii="Times New Roman" w:hAnsi="Times New Roman"/>
          <w:sz w:val="28"/>
          <w:szCs w:val="28"/>
          <w:shd w:val="clear" w:color="auto" w:fill="FFFFFF"/>
        </w:rPr>
        <w:t xml:space="preserve"> </w:t>
      </w:r>
      <w:r w:rsidR="009215E2" w:rsidRPr="009215E2">
        <w:rPr>
          <w:rFonts w:ascii="Times New Roman" w:hAnsi="Times New Roman"/>
          <w:sz w:val="28"/>
          <w:szCs w:val="28"/>
          <w:shd w:val="clear" w:color="auto" w:fill="FFFFFF"/>
        </w:rPr>
        <w:t xml:space="preserve">ухвал </w:t>
      </w:r>
      <w:r w:rsidR="00E87F45">
        <w:rPr>
          <w:rFonts w:ascii="Times New Roman" w:hAnsi="Times New Roman"/>
          <w:sz w:val="28"/>
          <w:szCs w:val="28"/>
        </w:rPr>
        <w:t xml:space="preserve">слідчих суддів Печерського районного суду м. Києва від 22.01.2025 та 25.06.2025; постанови про закриття </w:t>
      </w:r>
      <w:r w:rsidR="00C84A30">
        <w:rPr>
          <w:rFonts w:ascii="Times New Roman" w:hAnsi="Times New Roman"/>
          <w:sz w:val="28"/>
          <w:szCs w:val="28"/>
        </w:rPr>
        <w:t>кримінального</w:t>
      </w:r>
      <w:r w:rsidR="00E87F45">
        <w:rPr>
          <w:rFonts w:ascii="Times New Roman" w:hAnsi="Times New Roman"/>
          <w:sz w:val="28"/>
          <w:szCs w:val="28"/>
        </w:rPr>
        <w:t xml:space="preserve"> провадження від 23.01.2025; </w:t>
      </w:r>
      <w:r w:rsidR="00C84A30">
        <w:rPr>
          <w:rFonts w:ascii="Times New Roman" w:hAnsi="Times New Roman"/>
          <w:sz w:val="28"/>
          <w:szCs w:val="28"/>
          <w:shd w:val="clear" w:color="auto" w:fill="FFFFFF"/>
        </w:rPr>
        <w:t xml:space="preserve">паспорта </w:t>
      </w:r>
      <w:r w:rsidR="00376B79">
        <w:rPr>
          <w:rFonts w:ascii="Times New Roman" w:hAnsi="Times New Roman"/>
          <w:sz w:val="28"/>
          <w:szCs w:val="28"/>
        </w:rPr>
        <w:t>ОСОБА_1</w:t>
      </w:r>
      <w:r>
        <w:rPr>
          <w:rFonts w:ascii="Times New Roman" w:hAnsi="Times New Roman"/>
          <w:sz w:val="28"/>
          <w:szCs w:val="28"/>
        </w:rPr>
        <w:t>.</w:t>
      </w:r>
    </w:p>
    <w:p w14:paraId="7F8133BD" w14:textId="77777777" w:rsidR="004A3000" w:rsidRDefault="004A3000" w:rsidP="009215E2">
      <w:pPr>
        <w:ind w:firstLine="567"/>
        <w:jc w:val="both"/>
        <w:rPr>
          <w:rFonts w:ascii="Times New Roman" w:hAnsi="Times New Roman"/>
          <w:sz w:val="28"/>
          <w:szCs w:val="28"/>
          <w:shd w:val="clear" w:color="auto" w:fill="FFFFFF"/>
        </w:rPr>
      </w:pPr>
    </w:p>
    <w:p w14:paraId="331DEA25" w14:textId="77777777" w:rsidR="00874162" w:rsidRPr="00595D3B" w:rsidRDefault="00874162" w:rsidP="00162D90">
      <w:pPr>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1DAC4C3C"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5F55583" w14:textId="2ABD35D0"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Згідно з пункт</w:t>
      </w:r>
      <w:r w:rsidR="00C84A30">
        <w:rPr>
          <w:rFonts w:ascii="Times New Roman" w:hAnsi="Times New Roman"/>
          <w:sz w:val="28"/>
          <w:szCs w:val="28"/>
        </w:rPr>
        <w:t>о</w:t>
      </w:r>
      <w:r w:rsidRPr="00337273">
        <w:rPr>
          <w:rFonts w:ascii="Times New Roman" w:hAnsi="Times New Roman"/>
          <w:sz w:val="28"/>
          <w:szCs w:val="28"/>
        </w:rPr>
        <w:t xml:space="preserve">м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5FDE79E0"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74F666CE"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2BD2E446" w14:textId="77777777" w:rsidR="00162D90" w:rsidRPr="0005661F" w:rsidRDefault="00162D90" w:rsidP="00162D90">
      <w:pPr>
        <w:widowControl w:val="0"/>
        <w:pBdr>
          <w:bottom w:val="single" w:sz="12" w:space="12" w:color="FFFFFF"/>
        </w:pBdr>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548C1996" w14:textId="77777777" w:rsidR="00162D90" w:rsidRPr="0005661F" w:rsidRDefault="00162D90" w:rsidP="00162D90">
      <w:pPr>
        <w:widowControl w:val="0"/>
        <w:pBdr>
          <w:bottom w:val="single" w:sz="12" w:space="12" w:color="FFFFFF"/>
        </w:pBdr>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1DBE6643"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Відповідно до статті 9 КПК України під час кримінального провадження </w:t>
      </w:r>
      <w:r w:rsidRPr="00337273">
        <w:rPr>
          <w:rFonts w:ascii="Times New Roman" w:hAnsi="Times New Roman"/>
          <w:sz w:val="28"/>
          <w:szCs w:val="28"/>
        </w:rPr>
        <w:lastRenderedPageBreak/>
        <w:t>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2C65D8DB" w14:textId="77777777" w:rsidR="00162D90" w:rsidRPr="00337273" w:rsidRDefault="00162D90" w:rsidP="00162D90">
      <w:pPr>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5A3D0C18"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7305D9F2"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428701F7"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0632DAE"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07DC5AF5"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B9A2E50"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8D93"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5172A6E"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64C37242"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1) невиконання чи неналежне виконання службових обов’язків;</w:t>
      </w:r>
    </w:p>
    <w:p w14:paraId="390345F0"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4D9EDA9C"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62356504"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5713C32"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41F19A9"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48285DE2"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4FA679BF"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0997BA3"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B290197"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F2EF4D7"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5773C707"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0FA7391A"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1D4660F5"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3002478F"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62800766"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64A8B4B6"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7299018"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w:t>
      </w:r>
      <w:r w:rsidRPr="0089523E">
        <w:rPr>
          <w:rFonts w:ascii="Times New Roman" w:hAnsi="Times New Roman"/>
          <w:bCs/>
          <w:sz w:val="28"/>
          <w:szCs w:val="28"/>
        </w:rPr>
        <w:lastRenderedPageBreak/>
        <w:t>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89CAB9" w14:textId="77777777" w:rsidR="00162D90" w:rsidRPr="00794406" w:rsidRDefault="00162D90" w:rsidP="00162D90">
      <w:pPr>
        <w:widowControl w:val="0"/>
        <w:pBdr>
          <w:bottom w:val="single" w:sz="12" w:space="12" w:color="FFFFFF"/>
        </w:pBdr>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1330B86"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E4DF83C" w14:textId="1914EAA8"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376B79">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C84A30">
        <w:rPr>
          <w:rFonts w:ascii="Times New Roman" w:hAnsi="Times New Roman"/>
          <w:sz w:val="28"/>
          <w:szCs w:val="28"/>
        </w:rPr>
        <w:t>а</w:t>
      </w:r>
      <w:r w:rsidRPr="00595D3B">
        <w:rPr>
          <w:rFonts w:ascii="Times New Roman" w:hAnsi="Times New Roman"/>
          <w:sz w:val="28"/>
          <w:szCs w:val="28"/>
        </w:rPr>
        <w:t>, вчинених (допущених) в межах кримінального процесу.</w:t>
      </w:r>
    </w:p>
    <w:p w14:paraId="0038E680" w14:textId="77777777"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1EF61AB" w14:textId="7FACC51B"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C84A30">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C84A30">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C84A30">
        <w:rPr>
          <w:rFonts w:ascii="Times New Roman" w:hAnsi="Times New Roman"/>
          <w:sz w:val="28"/>
          <w:szCs w:val="28"/>
        </w:rPr>
        <w:t>Синюка Д.</w:t>
      </w:r>
      <w:r w:rsidR="00162D90">
        <w:rPr>
          <w:rFonts w:ascii="Times New Roman" w:hAnsi="Times New Roman"/>
          <w:sz w:val="28"/>
          <w:szCs w:val="28"/>
        </w:rPr>
        <w:t>О.</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C84A30">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 xml:space="preserve">нагляду </w:t>
      </w:r>
      <w:r w:rsidRPr="00595D3B">
        <w:rPr>
          <w:rFonts w:ascii="Times New Roman" w:hAnsi="Times New Roman"/>
          <w:sz w:val="28"/>
          <w:szCs w:val="28"/>
        </w:rPr>
        <w:t>у кримінальному провадженні.</w:t>
      </w:r>
    </w:p>
    <w:p w14:paraId="77829431" w14:textId="35F2C2D5" w:rsidR="00874162" w:rsidRPr="00595D3B" w:rsidRDefault="00874162" w:rsidP="00874162">
      <w:pPr>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sidR="00C84A30">
        <w:rPr>
          <w:rFonts w:ascii="Times New Roman" w:hAnsi="Times New Roman"/>
          <w:sz w:val="28"/>
          <w:szCs w:val="28"/>
        </w:rPr>
        <w:t>а</w:t>
      </w:r>
      <w:r w:rsidRPr="00595D3B">
        <w:rPr>
          <w:rFonts w:ascii="Times New Roman" w:hAnsi="Times New Roman"/>
          <w:sz w:val="28"/>
          <w:szCs w:val="28"/>
        </w:rPr>
        <w:t>, що пов’язані 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677C176E" w14:textId="0FCDB506"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sidR="00A7195B">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C84A30">
        <w:rPr>
          <w:rFonts w:ascii="Times New Roman" w:hAnsi="Times New Roman"/>
          <w:sz w:val="28"/>
          <w:szCs w:val="28"/>
        </w:rPr>
        <w:t>а</w:t>
      </w:r>
      <w:r>
        <w:rPr>
          <w:rFonts w:ascii="Times New Roman" w:hAnsi="Times New Roman"/>
          <w:sz w:val="28"/>
          <w:szCs w:val="28"/>
        </w:rPr>
        <w:t xml:space="preserve"> </w:t>
      </w:r>
      <w:r w:rsidR="00C84A30">
        <w:rPr>
          <w:rFonts w:ascii="Times New Roman" w:hAnsi="Times New Roman"/>
          <w:sz w:val="28"/>
          <w:szCs w:val="28"/>
        </w:rPr>
        <w:t>Синюка Д.О.</w:t>
      </w:r>
      <w:r w:rsidR="00C84A30"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C847E8" w:rsidRPr="00595D3B">
        <w:rPr>
          <w:rFonts w:ascii="Times New Roman" w:hAnsi="Times New Roman"/>
          <w:sz w:val="28"/>
          <w:szCs w:val="28"/>
        </w:rPr>
        <w:t>№</w:t>
      </w:r>
      <w:r w:rsidR="00C847E8">
        <w:rPr>
          <w:rFonts w:ascii="Times New Roman" w:hAnsi="Times New Roman"/>
          <w:sz w:val="28"/>
          <w:szCs w:val="28"/>
        </w:rPr>
        <w:t> </w:t>
      </w:r>
      <w:r w:rsidR="00376B79">
        <w:rPr>
          <w:rFonts w:ascii="Times New Roman" w:hAnsi="Times New Roman"/>
          <w:sz w:val="28"/>
          <w:szCs w:val="28"/>
        </w:rPr>
        <w:t>(конфіденційна інформація)</w:t>
      </w:r>
      <w:r w:rsidRPr="00595D3B">
        <w:rPr>
          <w:rFonts w:ascii="Times New Roman" w:hAnsi="Times New Roman"/>
          <w:sz w:val="28"/>
          <w:szCs w:val="28"/>
        </w:rPr>
        <w:t>.</w:t>
      </w:r>
    </w:p>
    <w:p w14:paraId="1E9BCC14" w14:textId="77777777"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9F0CB12" w14:textId="77777777"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 xml:space="preserve">Комісія як орган, який вирішує питання про дисциплінарну відповідальність прокурорів, не наділена повноваженнями надавати оцінку обставинам та фактам </w:t>
      </w:r>
      <w:r w:rsidRPr="006031BD">
        <w:rPr>
          <w:rFonts w:ascii="Times New Roman" w:hAnsi="Times New Roman"/>
          <w:sz w:val="28"/>
          <w:szCs w:val="28"/>
        </w:rPr>
        <w:lastRenderedPageBreak/>
        <w:t>у кримінальному (цивільному, господарському, адміністративному) процесі, оцінювати висновки, яких дійшов суд із питань фактів і права тощо.</w:t>
      </w:r>
    </w:p>
    <w:p w14:paraId="05AB4709" w14:textId="77777777"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6D0E16A" w14:textId="77777777" w:rsidR="00593C3A" w:rsidRDefault="00593C3A" w:rsidP="00593C3A">
      <w:pPr>
        <w:widowControl w:val="0"/>
        <w:pBdr>
          <w:bottom w:val="single" w:sz="12" w:space="31" w:color="FFFFFF"/>
        </w:pBdr>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прокурорів</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Pr>
          <w:rFonts w:ascii="Times New Roman" w:hAnsi="Times New Roman"/>
          <w:color w:val="000000"/>
          <w:sz w:val="28"/>
          <w:szCs w:val="28"/>
          <w:shd w:val="clear" w:color="auto" w:fill="FFFFFF"/>
        </w:rPr>
        <w:t>їх</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6645B60" w14:textId="77777777" w:rsidR="00593C3A" w:rsidRPr="00DD788B" w:rsidRDefault="00593C3A" w:rsidP="00593C3A">
      <w:pPr>
        <w:widowControl w:val="0"/>
        <w:pBdr>
          <w:bottom w:val="single" w:sz="12" w:space="31" w:color="FFFFFF"/>
        </w:pBdr>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331250BC" w14:textId="77777777" w:rsidR="00593C3A" w:rsidRPr="001D2B1C" w:rsidRDefault="00593C3A" w:rsidP="00593C3A">
      <w:pPr>
        <w:pBdr>
          <w:bottom w:val="single" w:sz="12" w:space="31" w:color="FFFFFF"/>
        </w:pBdr>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0B0147C" w14:textId="77777777" w:rsidR="00593C3A" w:rsidRPr="001D2B1C" w:rsidRDefault="00593C3A" w:rsidP="00593C3A">
      <w:pPr>
        <w:pBdr>
          <w:bottom w:val="single" w:sz="12" w:space="31" w:color="FFFFFF"/>
        </w:pBdr>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5E0ED13B" w14:textId="77777777" w:rsidR="00593C3A" w:rsidRDefault="00593C3A" w:rsidP="00593C3A">
      <w:pPr>
        <w:pBdr>
          <w:bottom w:val="single" w:sz="12" w:space="31" w:color="FFFFFF"/>
        </w:pBdr>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797DABC2" w14:textId="73393E92" w:rsidR="00BF772A" w:rsidRDefault="00BF772A" w:rsidP="00593C3A">
      <w:pPr>
        <w:pBdr>
          <w:bottom w:val="single" w:sz="12" w:space="31" w:color="FFFFFF"/>
        </w:pBdr>
        <w:ind w:firstLine="567"/>
        <w:contextualSpacing/>
        <w:jc w:val="both"/>
        <w:rPr>
          <w:rFonts w:ascii="Times New Roman" w:hAnsi="Times New Roman"/>
          <w:sz w:val="28"/>
          <w:szCs w:val="28"/>
        </w:rPr>
      </w:pPr>
      <w:r>
        <w:rPr>
          <w:rFonts w:ascii="Times New Roman" w:hAnsi="Times New Roman"/>
          <w:sz w:val="28"/>
          <w:szCs w:val="28"/>
        </w:rPr>
        <w:t xml:space="preserve">Згідно </w:t>
      </w:r>
      <w:r w:rsidR="00F55C0E">
        <w:rPr>
          <w:rFonts w:ascii="Times New Roman" w:hAnsi="Times New Roman"/>
          <w:sz w:val="28"/>
          <w:szCs w:val="28"/>
        </w:rPr>
        <w:t xml:space="preserve">з </w:t>
      </w:r>
      <w:r w:rsidR="00D54E7B">
        <w:rPr>
          <w:rFonts w:ascii="Times New Roman" w:hAnsi="Times New Roman"/>
          <w:sz w:val="28"/>
          <w:szCs w:val="28"/>
        </w:rPr>
        <w:t xml:space="preserve">доданими до скарги ухвалами Печерського районного суду м. Києва від 22 січня 2025 року та 25 червня 2025 року слідчі судді дійшли до висновку про наявність підстав для задоволення клопотань та надали дозвіл слідчим </w:t>
      </w:r>
      <w:r w:rsidR="00D54E7B">
        <w:rPr>
          <w:rFonts w:ascii="Times New Roman" w:hAnsi="Times New Roman"/>
          <w:sz w:val="28"/>
          <w:szCs w:val="28"/>
        </w:rPr>
        <w:br/>
        <w:t>на проведення відповідних обшуків</w:t>
      </w:r>
      <w:r>
        <w:rPr>
          <w:rFonts w:ascii="Times New Roman" w:hAnsi="Times New Roman"/>
          <w:sz w:val="28"/>
          <w:szCs w:val="28"/>
        </w:rPr>
        <w:t>.</w:t>
      </w:r>
      <w:r w:rsidR="00D54E7B">
        <w:rPr>
          <w:rFonts w:ascii="Times New Roman" w:hAnsi="Times New Roman"/>
          <w:sz w:val="28"/>
          <w:szCs w:val="28"/>
        </w:rPr>
        <w:t xml:space="preserve"> Вказані ухвали суду є чинними та оскарженню не підлягають.</w:t>
      </w:r>
    </w:p>
    <w:p w14:paraId="16165422" w14:textId="5683761E" w:rsidR="00C36E45" w:rsidRDefault="00C36E45" w:rsidP="00C36E45">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6031BD">
        <w:rPr>
          <w:rFonts w:ascii="Times New Roman" w:hAnsi="Times New Roman"/>
          <w:sz w:val="28"/>
          <w:szCs w:val="28"/>
        </w:rPr>
        <w:t xml:space="preserve"> про невиконання чи неналежне виконання службових обов’язків прокурор</w:t>
      </w:r>
      <w:r>
        <w:rPr>
          <w:rFonts w:ascii="Times New Roman" w:hAnsi="Times New Roman"/>
          <w:sz w:val="28"/>
          <w:szCs w:val="28"/>
        </w:rPr>
        <w:t>о</w:t>
      </w:r>
      <w:r w:rsidRPr="006031BD">
        <w:rPr>
          <w:rFonts w:ascii="Times New Roman" w:hAnsi="Times New Roman"/>
          <w:sz w:val="28"/>
          <w:szCs w:val="28"/>
        </w:rPr>
        <w:t xml:space="preserve">м </w:t>
      </w:r>
      <w:r>
        <w:rPr>
          <w:rFonts w:ascii="Times New Roman" w:hAnsi="Times New Roman"/>
          <w:sz w:val="28"/>
          <w:szCs w:val="28"/>
        </w:rPr>
        <w:t>Синюком Д.О.</w:t>
      </w:r>
      <w:r w:rsidRPr="00C379B5">
        <w:rPr>
          <w:rFonts w:ascii="Times New Roman" w:hAnsi="Times New Roman"/>
          <w:sz w:val="28"/>
          <w:szCs w:val="28"/>
          <w:lang w:eastAsia="uk-UA"/>
        </w:rPr>
        <w:t xml:space="preserve"> </w:t>
      </w:r>
      <w:r w:rsidRPr="006031BD">
        <w:rPr>
          <w:rFonts w:ascii="Times New Roman" w:hAnsi="Times New Roman"/>
          <w:sz w:val="28"/>
          <w:szCs w:val="28"/>
        </w:rPr>
        <w:t xml:space="preserve">є суб’єктивним. </w:t>
      </w:r>
    </w:p>
    <w:p w14:paraId="06AE16BA" w14:textId="0F35BC9F" w:rsidR="00C36E45" w:rsidRDefault="00C36E45" w:rsidP="00593C3A">
      <w:pPr>
        <w:pBdr>
          <w:bottom w:val="single" w:sz="12" w:space="31" w:color="FFFFFF"/>
        </w:pBdr>
        <w:ind w:firstLine="567"/>
        <w:contextualSpacing/>
        <w:jc w:val="both"/>
        <w:rPr>
          <w:rFonts w:ascii="Times New Roman" w:hAnsi="Times New Roman"/>
          <w:color w:val="000000"/>
          <w:spacing w:val="-2"/>
          <w:sz w:val="28"/>
          <w:szCs w:val="28"/>
          <w:shd w:val="clear" w:color="auto" w:fill="FFFFFF"/>
        </w:rPr>
      </w:pPr>
      <w:r w:rsidRPr="000B008C">
        <w:rPr>
          <w:rFonts w:ascii="Times New Roman" w:hAnsi="Times New Roman"/>
          <w:sz w:val="28"/>
          <w:szCs w:val="28"/>
        </w:rPr>
        <w:lastRenderedPageBreak/>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а</w:t>
      </w:r>
      <w:r w:rsidRPr="000B008C">
        <w:rPr>
          <w:rFonts w:ascii="Times New Roman" w:hAnsi="Times New Roman"/>
          <w:sz w:val="28"/>
          <w:szCs w:val="28"/>
        </w:rPr>
        <w:t>м</w:t>
      </w:r>
      <w:r>
        <w:rPr>
          <w:rFonts w:ascii="Times New Roman" w:hAnsi="Times New Roman"/>
          <w:sz w:val="28"/>
          <w:szCs w:val="28"/>
        </w:rPr>
        <w:t>и</w:t>
      </w:r>
      <w:r w:rsidRPr="000B008C">
        <w:rPr>
          <w:rFonts w:ascii="Times New Roman" w:hAnsi="Times New Roman"/>
          <w:sz w:val="28"/>
          <w:szCs w:val="28"/>
        </w:rPr>
        <w:t xml:space="preserve"> </w:t>
      </w:r>
      <w:r>
        <w:rPr>
          <w:rFonts w:ascii="Times New Roman" w:hAnsi="Times New Roman"/>
          <w:sz w:val="28"/>
          <w:szCs w:val="28"/>
        </w:rPr>
        <w:t>2 та 9</w:t>
      </w:r>
      <w:r w:rsidRPr="000B008C">
        <w:rPr>
          <w:rFonts w:ascii="Times New Roman" w:hAnsi="Times New Roman"/>
          <w:sz w:val="28"/>
          <w:szCs w:val="28"/>
        </w:rPr>
        <w:t xml:space="preserve"> частини першої статті 43 Закону №</w:t>
      </w:r>
      <w:r w:rsidR="00376B79">
        <w:rPr>
          <w:rFonts w:ascii="Times New Roman" w:hAnsi="Times New Roman"/>
          <w:sz w:val="28"/>
          <w:szCs w:val="28"/>
        </w:rPr>
        <w:t> </w:t>
      </w:r>
      <w:r w:rsidRPr="000B008C">
        <w:rPr>
          <w:rFonts w:ascii="Times New Roman" w:hAnsi="Times New Roman"/>
          <w:sz w:val="28"/>
          <w:szCs w:val="28"/>
        </w:rPr>
        <w:t>1697-VII, а саме</w:t>
      </w:r>
      <w:r w:rsidRPr="00E664FB">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 xml:space="preserve">необґрунтоване зволікання з розглядом звернення та </w:t>
      </w:r>
      <w:r>
        <w:rPr>
          <w:rFonts w:ascii="Times New Roman" w:eastAsiaTheme="minorHAnsi" w:hAnsi="Times New Roman" w:cstheme="minorBidi"/>
          <w:color w:val="000000"/>
          <w:spacing w:val="-2"/>
          <w:sz w:val="28"/>
          <w:szCs w:val="28"/>
          <w:shd w:val="clear" w:color="auto" w:fill="FFFFFF"/>
        </w:rPr>
        <w:t>публічне висловлювання, яке є порушенням презумпції невинуватості</w:t>
      </w:r>
      <w:r>
        <w:rPr>
          <w:rFonts w:ascii="Times New Roman" w:hAnsi="Times New Roman"/>
          <w:color w:val="000000"/>
          <w:spacing w:val="-2"/>
          <w:sz w:val="28"/>
          <w:szCs w:val="28"/>
          <w:shd w:val="clear" w:color="auto" w:fill="FFFFFF"/>
        </w:rPr>
        <w:t xml:space="preserve">. Будь-яких доказів на підтвердження її доводів скаржником не зазначено та до скарги не долучено. </w:t>
      </w:r>
    </w:p>
    <w:p w14:paraId="65331DD2" w14:textId="61A664FE" w:rsidR="00593C3A" w:rsidRDefault="00593C3A" w:rsidP="00593C3A">
      <w:pPr>
        <w:pBdr>
          <w:bottom w:val="single" w:sz="12" w:space="31" w:color="FFFFFF"/>
        </w:pBdr>
        <w:ind w:firstLine="567"/>
        <w:contextualSpacing/>
        <w:jc w:val="both"/>
        <w:rPr>
          <w:rFonts w:ascii="Times New Roman" w:hAnsi="Times New Roman"/>
          <w:sz w:val="28"/>
          <w:szCs w:val="28"/>
        </w:rPr>
      </w:pPr>
      <w:r w:rsidRPr="00465CFD">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C847E8">
        <w:rPr>
          <w:rFonts w:ascii="Times New Roman" w:hAnsi="Times New Roman"/>
          <w:sz w:val="28"/>
          <w:szCs w:val="28"/>
        </w:rPr>
        <w:t>о</w:t>
      </w:r>
      <w:r w:rsidRPr="00465CFD">
        <w:rPr>
          <w:rFonts w:ascii="Times New Roman" w:hAnsi="Times New Roman"/>
          <w:sz w:val="28"/>
          <w:szCs w:val="28"/>
        </w:rPr>
        <w:t xml:space="preserve">м </w:t>
      </w:r>
      <w:r w:rsidR="00C847E8">
        <w:rPr>
          <w:rFonts w:ascii="Times New Roman" w:hAnsi="Times New Roman"/>
          <w:sz w:val="28"/>
          <w:szCs w:val="28"/>
        </w:rPr>
        <w:t>Синюком Д.О</w:t>
      </w:r>
      <w:r w:rsidRPr="00595D3B">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C36E45">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A7195B">
        <w:rPr>
          <w:rFonts w:ascii="Times New Roman" w:hAnsi="Times New Roman"/>
          <w:sz w:val="28"/>
          <w:szCs w:val="28"/>
        </w:rPr>
        <w:t>,</w:t>
      </w:r>
      <w:r w:rsidRPr="00E85462">
        <w:rPr>
          <w:rFonts w:ascii="Times New Roman" w:hAnsi="Times New Roman"/>
          <w:sz w:val="28"/>
          <w:szCs w:val="28"/>
        </w:rPr>
        <w:t xml:space="preserve"> є </w:t>
      </w:r>
      <w:r w:rsidR="00C847E8">
        <w:rPr>
          <w:rFonts w:ascii="Times New Roman" w:hAnsi="Times New Roman"/>
          <w:sz w:val="28"/>
          <w:szCs w:val="28"/>
        </w:rPr>
        <w:t>суб’єктивним</w:t>
      </w:r>
      <w:r w:rsidRPr="00E85462">
        <w:rPr>
          <w:rFonts w:ascii="Times New Roman" w:hAnsi="Times New Roman"/>
          <w:sz w:val="28"/>
          <w:szCs w:val="28"/>
        </w:rPr>
        <w:t>.</w:t>
      </w:r>
      <w:r w:rsidR="00BF772A" w:rsidRPr="00BF772A">
        <w:rPr>
          <w:rFonts w:ascii="Times New Roman" w:hAnsi="Times New Roman"/>
          <w:sz w:val="28"/>
          <w:szCs w:val="28"/>
        </w:rPr>
        <w:t xml:space="preserve"> </w:t>
      </w:r>
      <w:r w:rsidR="00BF772A" w:rsidRPr="00876852">
        <w:rPr>
          <w:rFonts w:ascii="Times New Roman" w:hAnsi="Times New Roman"/>
          <w:sz w:val="28"/>
          <w:szCs w:val="28"/>
        </w:rPr>
        <w:t>Тому наразі не встановлено підстав для відкриття дисциплінарного провадження.</w:t>
      </w:r>
    </w:p>
    <w:p w14:paraId="750BF44D" w14:textId="77777777" w:rsidR="00874162" w:rsidRDefault="00874162" w:rsidP="00874162">
      <w:pPr>
        <w:widowControl w:val="0"/>
        <w:pBdr>
          <w:bottom w:val="single" w:sz="12" w:space="31" w:color="FFFFFF"/>
        </w:pBdr>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66A82734" w14:textId="77777777" w:rsidR="00874162" w:rsidRDefault="00874162" w:rsidP="00874162">
      <w:pPr>
        <w:widowControl w:val="0"/>
        <w:pBdr>
          <w:bottom w:val="single" w:sz="12" w:space="31" w:color="FFFFFF"/>
        </w:pBdr>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5BF4F232" w14:textId="77777777" w:rsidR="00874162" w:rsidRPr="00F65DFF" w:rsidRDefault="00874162" w:rsidP="00874162">
      <w:pPr>
        <w:widowControl w:val="0"/>
        <w:pBdr>
          <w:bottom w:val="single" w:sz="12" w:space="31" w:color="FFFFFF"/>
        </w:pBdr>
        <w:jc w:val="center"/>
        <w:rPr>
          <w:rFonts w:ascii="Times New Roman" w:hAnsi="Times New Roman"/>
          <w:b/>
          <w:sz w:val="24"/>
          <w:szCs w:val="24"/>
        </w:rPr>
      </w:pPr>
    </w:p>
    <w:p w14:paraId="5EFC4F1D" w14:textId="73AE6AA5" w:rsidR="00D62668" w:rsidRDefault="00874162" w:rsidP="00D62668">
      <w:pPr>
        <w:pBdr>
          <w:bottom w:val="single" w:sz="12" w:space="31" w:color="FFFFFF"/>
        </w:pBdr>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C847E8" w:rsidRPr="00187EC3">
        <w:rPr>
          <w:rFonts w:ascii="Times New Roman" w:hAnsi="Times New Roman"/>
          <w:sz w:val="28"/>
          <w:szCs w:val="28"/>
        </w:rPr>
        <w:t>прокурор</w:t>
      </w:r>
      <w:r w:rsidR="00C847E8">
        <w:rPr>
          <w:rFonts w:ascii="Times New Roman" w:hAnsi="Times New Roman"/>
          <w:sz w:val="28"/>
          <w:szCs w:val="28"/>
        </w:rPr>
        <w:t>а</w:t>
      </w:r>
      <w:r w:rsidR="00C847E8" w:rsidRPr="00187EC3">
        <w:rPr>
          <w:rFonts w:ascii="Times New Roman" w:hAnsi="Times New Roman"/>
          <w:sz w:val="28"/>
          <w:szCs w:val="28"/>
        </w:rPr>
        <w:t xml:space="preserve"> </w:t>
      </w:r>
      <w:r w:rsidR="00C847E8">
        <w:rPr>
          <w:rFonts w:ascii="Times New Roman" w:hAnsi="Times New Roman"/>
          <w:sz w:val="28"/>
          <w:szCs w:val="28"/>
        </w:rPr>
        <w:t xml:space="preserve">третього </w:t>
      </w:r>
      <w:r w:rsidR="00C847E8" w:rsidRPr="00187EC3">
        <w:rPr>
          <w:rFonts w:ascii="Times New Roman" w:hAnsi="Times New Roman"/>
          <w:sz w:val="28"/>
          <w:szCs w:val="28"/>
        </w:rPr>
        <w:t xml:space="preserve">відділу </w:t>
      </w:r>
      <w:r w:rsidR="00C847E8">
        <w:rPr>
          <w:rFonts w:ascii="Times New Roman" w:hAnsi="Times New Roman"/>
          <w:sz w:val="28"/>
          <w:szCs w:val="28"/>
        </w:rPr>
        <w:t>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Синюка Дмитра Олександр</w:t>
      </w:r>
      <w:r w:rsidR="00C847E8" w:rsidRPr="00187EC3">
        <w:rPr>
          <w:rFonts w:ascii="Times New Roman" w:hAnsi="Times New Roman"/>
          <w:sz w:val="28"/>
          <w:szCs w:val="28"/>
        </w:rPr>
        <w:t>ович</w:t>
      </w:r>
      <w:r w:rsidR="00C847E8">
        <w:rPr>
          <w:rFonts w:ascii="Times New Roman" w:hAnsi="Times New Roman"/>
          <w:sz w:val="28"/>
          <w:szCs w:val="28"/>
        </w:rPr>
        <w:t>а</w:t>
      </w:r>
      <w:r>
        <w:rPr>
          <w:rFonts w:ascii="Times New Roman" w:hAnsi="Times New Roman"/>
          <w:sz w:val="28"/>
          <w:szCs w:val="28"/>
        </w:rPr>
        <w:t>.</w:t>
      </w:r>
    </w:p>
    <w:p w14:paraId="1073FB68" w14:textId="7AFD7AA3" w:rsidR="00CF6CDD" w:rsidRPr="00D62668" w:rsidRDefault="00874162" w:rsidP="00D62668">
      <w:pPr>
        <w:pBdr>
          <w:bottom w:val="single" w:sz="12" w:space="31" w:color="FFFFFF"/>
        </w:pBdr>
        <w:ind w:firstLine="567"/>
        <w:jc w:val="both"/>
        <w:rPr>
          <w:rFonts w:ascii="Times New Roman" w:hAnsi="Times New Roman"/>
          <w:sz w:val="28"/>
          <w:szCs w:val="28"/>
        </w:rPr>
      </w:pPr>
      <w:r w:rsidRPr="00D62668">
        <w:rPr>
          <w:rFonts w:ascii="Times New Roman" w:hAnsi="Times New Roman"/>
          <w:sz w:val="28"/>
          <w:szCs w:val="28"/>
        </w:rPr>
        <w:t>Копію рішення направити автору скарги та вищезазначен</w:t>
      </w:r>
      <w:r w:rsidR="00C847E8">
        <w:rPr>
          <w:rFonts w:ascii="Times New Roman" w:hAnsi="Times New Roman"/>
          <w:sz w:val="28"/>
          <w:szCs w:val="28"/>
        </w:rPr>
        <w:t>о</w:t>
      </w:r>
      <w:r w:rsidRPr="00D62668">
        <w:rPr>
          <w:rFonts w:ascii="Times New Roman" w:hAnsi="Times New Roman"/>
          <w:sz w:val="28"/>
          <w:szCs w:val="28"/>
        </w:rPr>
        <w:t>м</w:t>
      </w:r>
      <w:r w:rsidR="00C847E8">
        <w:rPr>
          <w:rFonts w:ascii="Times New Roman" w:hAnsi="Times New Roman"/>
          <w:sz w:val="28"/>
          <w:szCs w:val="28"/>
        </w:rPr>
        <w:t>у</w:t>
      </w:r>
      <w:r w:rsidRPr="00D62668">
        <w:rPr>
          <w:rFonts w:ascii="Times New Roman" w:hAnsi="Times New Roman"/>
          <w:sz w:val="28"/>
          <w:szCs w:val="28"/>
        </w:rPr>
        <w:t xml:space="preserve"> прокур</w:t>
      </w:r>
      <w:r w:rsidR="00C847E8">
        <w:rPr>
          <w:rFonts w:ascii="Times New Roman" w:hAnsi="Times New Roman"/>
          <w:sz w:val="28"/>
          <w:szCs w:val="28"/>
        </w:rPr>
        <w:t>ору</w:t>
      </w:r>
      <w:r w:rsidRPr="00D62668">
        <w:rPr>
          <w:rFonts w:ascii="Times New Roman" w:hAnsi="Times New Roman"/>
          <w:sz w:val="28"/>
          <w:szCs w:val="28"/>
        </w:rPr>
        <w:t>.</w:t>
      </w:r>
    </w:p>
    <w:p w14:paraId="4C807F86" w14:textId="77777777" w:rsidR="00C755EA" w:rsidRPr="00BF772A" w:rsidRDefault="00874162" w:rsidP="00BF772A">
      <w:pPr>
        <w:rPr>
          <w:rFonts w:ascii="Times New Roman" w:hAnsi="Times New Roman"/>
          <w:b/>
          <w:sz w:val="28"/>
          <w:szCs w:val="28"/>
        </w:rPr>
      </w:pPr>
      <w:r w:rsidRPr="00BF772A">
        <w:rPr>
          <w:rFonts w:ascii="Times New Roman" w:hAnsi="Times New Roman"/>
          <w:b/>
          <w:sz w:val="28"/>
          <w:szCs w:val="28"/>
        </w:rPr>
        <w:t xml:space="preserve">Член Комісії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Катерина КОВАЛЬ</w:t>
      </w:r>
    </w:p>
    <w:sectPr w:rsidR="00C755EA" w:rsidRPr="00BF772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F7BF" w14:textId="77777777" w:rsidR="000132A3" w:rsidRDefault="000132A3">
      <w:r>
        <w:separator/>
      </w:r>
    </w:p>
  </w:endnote>
  <w:endnote w:type="continuationSeparator" w:id="0">
    <w:p w14:paraId="470D9444" w14:textId="77777777" w:rsidR="000132A3" w:rsidRDefault="0001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9347" w14:textId="77777777" w:rsidR="00AE6878" w:rsidRDefault="00AE68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E22D" w14:textId="77777777" w:rsidR="00AE6878" w:rsidRDefault="00AE687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1FE7" w14:textId="77777777" w:rsidR="00AE6878" w:rsidRDefault="00AE68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9250" w14:textId="77777777" w:rsidR="000132A3" w:rsidRDefault="000132A3">
      <w:r>
        <w:separator/>
      </w:r>
    </w:p>
  </w:footnote>
  <w:footnote w:type="continuationSeparator" w:id="0">
    <w:p w14:paraId="17D63B6B" w14:textId="77777777" w:rsidR="000132A3" w:rsidRDefault="00013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1717" w14:textId="77777777" w:rsidR="00AE6878" w:rsidRDefault="00AE687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59F4F5A9" w14:textId="77777777" w:rsidR="00AE6878" w:rsidRDefault="00874162">
        <w:pPr>
          <w:pStyle w:val="a5"/>
          <w:jc w:val="center"/>
        </w:pPr>
        <w:r>
          <w:fldChar w:fldCharType="begin"/>
        </w:r>
        <w:r>
          <w:instrText>PAGE   \* MERGEFORMAT</w:instrText>
        </w:r>
        <w:r>
          <w:fldChar w:fldCharType="separate"/>
        </w:r>
        <w:r w:rsidR="00F55CA4" w:rsidRPr="00F55CA4">
          <w:rPr>
            <w:noProof/>
            <w:lang w:val="ru-RU"/>
          </w:rPr>
          <w:t>7</w:t>
        </w:r>
        <w:r>
          <w:fldChar w:fldCharType="end"/>
        </w:r>
      </w:p>
    </w:sdtContent>
  </w:sdt>
  <w:p w14:paraId="258148C3" w14:textId="77777777" w:rsidR="00AE6878" w:rsidRDefault="00AE687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12BA" w14:textId="77777777" w:rsidR="00AE6878" w:rsidRDefault="00AE68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32A3"/>
    <w:rsid w:val="00022EBD"/>
    <w:rsid w:val="00043A18"/>
    <w:rsid w:val="00082582"/>
    <w:rsid w:val="00083D30"/>
    <w:rsid w:val="000B7736"/>
    <w:rsid w:val="00105662"/>
    <w:rsid w:val="00135CC2"/>
    <w:rsid w:val="001450F7"/>
    <w:rsid w:val="00153FC6"/>
    <w:rsid w:val="00162D90"/>
    <w:rsid w:val="00187EC3"/>
    <w:rsid w:val="001B6CDD"/>
    <w:rsid w:val="001E1F79"/>
    <w:rsid w:val="00295F80"/>
    <w:rsid w:val="002A2381"/>
    <w:rsid w:val="002B2EDB"/>
    <w:rsid w:val="00303E9B"/>
    <w:rsid w:val="003163D8"/>
    <w:rsid w:val="0036267D"/>
    <w:rsid w:val="00376B79"/>
    <w:rsid w:val="003802E2"/>
    <w:rsid w:val="00417E8C"/>
    <w:rsid w:val="00451FEB"/>
    <w:rsid w:val="0045224E"/>
    <w:rsid w:val="00481187"/>
    <w:rsid w:val="00485606"/>
    <w:rsid w:val="004A3000"/>
    <w:rsid w:val="004F7784"/>
    <w:rsid w:val="00505613"/>
    <w:rsid w:val="00570B2F"/>
    <w:rsid w:val="00575A6C"/>
    <w:rsid w:val="00593C3A"/>
    <w:rsid w:val="005D30C7"/>
    <w:rsid w:val="00612B4E"/>
    <w:rsid w:val="00693090"/>
    <w:rsid w:val="006D62F3"/>
    <w:rsid w:val="00727B6B"/>
    <w:rsid w:val="007A48B6"/>
    <w:rsid w:val="00874162"/>
    <w:rsid w:val="00894507"/>
    <w:rsid w:val="008B1170"/>
    <w:rsid w:val="008F0D5E"/>
    <w:rsid w:val="00901117"/>
    <w:rsid w:val="00904EDA"/>
    <w:rsid w:val="009145F0"/>
    <w:rsid w:val="009215E2"/>
    <w:rsid w:val="00923F60"/>
    <w:rsid w:val="0095262A"/>
    <w:rsid w:val="00987716"/>
    <w:rsid w:val="009D03F5"/>
    <w:rsid w:val="00A226F6"/>
    <w:rsid w:val="00A7195B"/>
    <w:rsid w:val="00A8476A"/>
    <w:rsid w:val="00A95C61"/>
    <w:rsid w:val="00AD349A"/>
    <w:rsid w:val="00AE6878"/>
    <w:rsid w:val="00BC5ED7"/>
    <w:rsid w:val="00BF3611"/>
    <w:rsid w:val="00BF772A"/>
    <w:rsid w:val="00C26713"/>
    <w:rsid w:val="00C34C62"/>
    <w:rsid w:val="00C36E45"/>
    <w:rsid w:val="00C72C8D"/>
    <w:rsid w:val="00C755EA"/>
    <w:rsid w:val="00C847E8"/>
    <w:rsid w:val="00C84A30"/>
    <w:rsid w:val="00CF3186"/>
    <w:rsid w:val="00CF6CDD"/>
    <w:rsid w:val="00D54E7B"/>
    <w:rsid w:val="00D61204"/>
    <w:rsid w:val="00D62668"/>
    <w:rsid w:val="00E030B7"/>
    <w:rsid w:val="00E664EC"/>
    <w:rsid w:val="00E85707"/>
    <w:rsid w:val="00E87F45"/>
    <w:rsid w:val="00ED06F4"/>
    <w:rsid w:val="00ED1557"/>
    <w:rsid w:val="00F00F34"/>
    <w:rsid w:val="00F55C0E"/>
    <w:rsid w:val="00F55CA4"/>
    <w:rsid w:val="00F61E01"/>
    <w:rsid w:val="00FA2A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67A7"/>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11340</Words>
  <Characters>6465</Characters>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2026-03-27T10:08:00Z</cp:lastPrinted>
  <dcterms:created xsi:type="dcterms:W3CDTF">2026-03-27T10:36:00Z</dcterms:created>
  <dcterms:modified xsi:type="dcterms:W3CDTF">2026-03-30T12:51:00Z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2026-03-26T07:25:18Z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9c215e62-5753-4eb2-a8c5-a719a8148014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