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0B803175" w:rsidR="00DF1239" w:rsidRPr="0016464A" w:rsidRDefault="00FF7EA3"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6550FB">
        <w:rPr>
          <w:rFonts w:ascii="Times New Roman" w:hAnsi="Times New Roman"/>
          <w:b/>
          <w:kern w:val="28"/>
          <w:sz w:val="28"/>
          <w:szCs w:val="28"/>
          <w:lang w:eastAsia="uk-UA"/>
        </w:rPr>
        <w:t>5</w:t>
      </w:r>
      <w:r w:rsidR="0016464A" w:rsidRPr="0016464A">
        <w:rPr>
          <w:rFonts w:ascii="Times New Roman" w:hAnsi="Times New Roman"/>
          <w:b/>
          <w:kern w:val="28"/>
          <w:sz w:val="28"/>
          <w:szCs w:val="28"/>
          <w:lang w:eastAsia="uk-UA"/>
        </w:rPr>
        <w:t xml:space="preserve"> </w:t>
      </w:r>
      <w:r w:rsidR="006550FB">
        <w:rPr>
          <w:rFonts w:ascii="Times New Roman" w:hAnsi="Times New Roman"/>
          <w:b/>
          <w:kern w:val="28"/>
          <w:sz w:val="28"/>
          <w:szCs w:val="28"/>
          <w:lang w:eastAsia="uk-UA"/>
        </w:rPr>
        <w:t>бе</w:t>
      </w:r>
      <w:r>
        <w:rPr>
          <w:rFonts w:ascii="Times New Roman" w:hAnsi="Times New Roman"/>
          <w:b/>
          <w:kern w:val="28"/>
          <w:sz w:val="28"/>
          <w:szCs w:val="28"/>
          <w:lang w:eastAsia="uk-UA"/>
        </w:rPr>
        <w:t>р</w:t>
      </w:r>
      <w:r w:rsidR="006550FB">
        <w:rPr>
          <w:rFonts w:ascii="Times New Roman" w:hAnsi="Times New Roman"/>
          <w:b/>
          <w:kern w:val="28"/>
          <w:sz w:val="28"/>
          <w:szCs w:val="28"/>
          <w:lang w:eastAsia="uk-UA"/>
        </w:rPr>
        <w:t>ез</w:t>
      </w:r>
      <w:r>
        <w:rPr>
          <w:rFonts w:ascii="Times New Roman" w:hAnsi="Times New Roman"/>
          <w:b/>
          <w:kern w:val="28"/>
          <w:sz w:val="28"/>
          <w:szCs w:val="28"/>
          <w:lang w:eastAsia="uk-UA"/>
        </w:rPr>
        <w:t>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6550FB">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9C208D">
        <w:rPr>
          <w:rFonts w:ascii="Times New Roman" w:hAnsi="Times New Roman"/>
          <w:b/>
          <w:kern w:val="28"/>
          <w:sz w:val="28"/>
          <w:szCs w:val="28"/>
          <w:lang w:eastAsia="uk-UA"/>
        </w:rPr>
        <w:t xml:space="preserve">              </w:t>
      </w:r>
      <w:r>
        <w:rPr>
          <w:rFonts w:ascii="Times New Roman" w:hAnsi="Times New Roman"/>
          <w:b/>
          <w:kern w:val="28"/>
          <w:sz w:val="28"/>
          <w:szCs w:val="28"/>
          <w:lang w:eastAsia="uk-UA"/>
        </w:rPr>
        <w:tab/>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6550FB">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2</w:t>
      </w:r>
      <w:r w:rsidR="006550FB">
        <w:rPr>
          <w:rFonts w:ascii="Times New Roman" w:hAnsi="Times New Roman"/>
          <w:b/>
          <w:kern w:val="28"/>
          <w:sz w:val="28"/>
          <w:szCs w:val="28"/>
          <w:lang w:eastAsia="uk-UA"/>
        </w:rPr>
        <w:t>27</w:t>
      </w:r>
      <w:r w:rsidR="00DF1239" w:rsidRPr="0016464A">
        <w:rPr>
          <w:rFonts w:ascii="Times New Roman" w:hAnsi="Times New Roman"/>
          <w:b/>
          <w:kern w:val="28"/>
          <w:sz w:val="28"/>
          <w:szCs w:val="28"/>
          <w:lang w:eastAsia="uk-UA"/>
        </w:rPr>
        <w:t>дс-2</w:t>
      </w:r>
      <w:r w:rsidR="006550FB">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1314CF6A" w14:textId="56808303" w:rsidR="009C208D" w:rsidRPr="007559AD" w:rsidRDefault="0032608B" w:rsidP="00D85CED">
      <w:pPr>
        <w:pStyle w:val="a3"/>
        <w:tabs>
          <w:tab w:val="left" w:pos="567"/>
        </w:tabs>
        <w:ind w:firstLine="567"/>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827730">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C208D">
        <w:rPr>
          <w:rFonts w:ascii="Times New Roman" w:hAnsi="Times New Roman"/>
          <w:sz w:val="28"/>
          <w:szCs w:val="28"/>
        </w:rPr>
        <w:t xml:space="preserve">прокурора відділу </w:t>
      </w:r>
      <w:r w:rsidR="009C208D" w:rsidRPr="009C208D">
        <w:rPr>
          <w:rFonts w:ascii="Times New Roman" w:hAnsi="Times New Roman"/>
          <w:sz w:val="28"/>
          <w:szCs w:val="28"/>
        </w:rPr>
        <w:t xml:space="preserve">нагляду за додержанням законів регіональним органом безпеки </w:t>
      </w:r>
      <w:r w:rsidR="009C208D">
        <w:rPr>
          <w:rFonts w:ascii="Times New Roman" w:hAnsi="Times New Roman"/>
          <w:sz w:val="28"/>
          <w:szCs w:val="28"/>
        </w:rPr>
        <w:t>Запорізької обласної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9C208D">
        <w:rPr>
          <w:rFonts w:ascii="Times New Roman" w:hAnsi="Times New Roman"/>
          <w:sz w:val="28"/>
          <w:szCs w:val="28"/>
        </w:rPr>
        <w:t>Нестеренка Сергія Олександрович</w:t>
      </w:r>
      <w:r w:rsidR="004F2EA0">
        <w:rPr>
          <w:rFonts w:ascii="Times New Roman" w:hAnsi="Times New Roman"/>
          <w:sz w:val="28"/>
          <w:szCs w:val="28"/>
        </w:rPr>
        <w:t xml:space="preserve">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9C208D">
        <w:rPr>
          <w:rFonts w:ascii="Times New Roman" w:hAnsi="Times New Roman"/>
          <w:sz w:val="28"/>
          <w:szCs w:val="28"/>
        </w:rPr>
        <w:t>Нестеренко</w:t>
      </w:r>
      <w:r w:rsidR="004F2EA0">
        <w:rPr>
          <w:rFonts w:ascii="Times New Roman" w:hAnsi="Times New Roman"/>
          <w:sz w:val="28"/>
          <w:szCs w:val="28"/>
        </w:rPr>
        <w:t xml:space="preserve"> </w:t>
      </w:r>
      <w:r w:rsidR="009C208D">
        <w:rPr>
          <w:rFonts w:ascii="Times New Roman" w:hAnsi="Times New Roman"/>
          <w:sz w:val="28"/>
          <w:szCs w:val="28"/>
        </w:rPr>
        <w:t>С</w:t>
      </w:r>
      <w:r w:rsidR="004F2EA0">
        <w:rPr>
          <w:rFonts w:ascii="Times New Roman" w:hAnsi="Times New Roman"/>
          <w:sz w:val="28"/>
          <w:szCs w:val="28"/>
        </w:rPr>
        <w:t>.</w:t>
      </w:r>
      <w:r w:rsidR="009C208D">
        <w:rPr>
          <w:rFonts w:ascii="Times New Roman" w:hAnsi="Times New Roman"/>
          <w:sz w:val="28"/>
          <w:szCs w:val="28"/>
        </w:rPr>
        <w:t>О</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4EF9EA52"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827730">
        <w:rPr>
          <w:rFonts w:ascii="Times New Roman" w:hAnsi="Times New Roman"/>
          <w:sz w:val="28"/>
          <w:szCs w:val="28"/>
        </w:rPr>
        <w:t xml:space="preserve">ОСОБА_1 </w:t>
      </w:r>
      <w:r w:rsidR="00D02452" w:rsidRPr="0016464A">
        <w:rPr>
          <w:rFonts w:ascii="Times New Roman" w:hAnsi="Times New Roman"/>
          <w:sz w:val="28"/>
          <w:szCs w:val="28"/>
        </w:rPr>
        <w:t>(далі – скаржни</w:t>
      </w:r>
      <w:r w:rsidR="00D02452">
        <w:rPr>
          <w:rFonts w:ascii="Times New Roman" w:hAnsi="Times New Roman"/>
          <w:sz w:val="28"/>
          <w:szCs w:val="28"/>
        </w:rPr>
        <w:t>к</w:t>
      </w:r>
      <w:r w:rsidR="00D02452" w:rsidRPr="0016464A">
        <w:rPr>
          <w:rFonts w:ascii="Times New Roman" w:hAnsi="Times New Roman"/>
          <w:sz w:val="28"/>
          <w:szCs w:val="28"/>
        </w:rPr>
        <w:t xml:space="preserve">) </w:t>
      </w:r>
      <w:r w:rsidR="00B67648">
        <w:rPr>
          <w:rFonts w:ascii="Times New Roman" w:hAnsi="Times New Roman"/>
          <w:sz w:val="28"/>
          <w:szCs w:val="28"/>
        </w:rPr>
        <w:t>з доданими пояснення</w:t>
      </w:r>
      <w:r w:rsidR="00483444">
        <w:rPr>
          <w:rFonts w:ascii="Times New Roman" w:hAnsi="Times New Roman"/>
          <w:sz w:val="28"/>
          <w:szCs w:val="28"/>
        </w:rPr>
        <w:t>ми</w:t>
      </w:r>
      <w:r w:rsidR="00B67648">
        <w:rPr>
          <w:rFonts w:ascii="Times New Roman" w:hAnsi="Times New Roman"/>
          <w:sz w:val="28"/>
          <w:szCs w:val="28"/>
        </w:rPr>
        <w:t xml:space="preserve"> до неї </w:t>
      </w:r>
      <w:r w:rsidR="00B67648">
        <w:rPr>
          <w:rFonts w:ascii="Times New Roman" w:hAnsi="Times New Roman"/>
          <w:sz w:val="28"/>
          <w:szCs w:val="28"/>
        </w:rPr>
        <w:br/>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9C208D">
        <w:rPr>
          <w:rFonts w:ascii="Times New Roman" w:hAnsi="Times New Roman"/>
          <w:sz w:val="28"/>
          <w:szCs w:val="28"/>
        </w:rPr>
        <w:t>Нестеренком С.О</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6FCF6E03"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FF7EA3">
        <w:rPr>
          <w:rFonts w:ascii="Times New Roman" w:hAnsi="Times New Roman"/>
          <w:sz w:val="28"/>
          <w:szCs w:val="28"/>
        </w:rPr>
        <w:t>1</w:t>
      </w:r>
      <w:r w:rsidR="006550FB">
        <w:rPr>
          <w:rFonts w:ascii="Times New Roman" w:hAnsi="Times New Roman"/>
          <w:sz w:val="28"/>
          <w:szCs w:val="28"/>
        </w:rPr>
        <w:t>6</w:t>
      </w:r>
      <w:r w:rsidR="009C208D">
        <w:rPr>
          <w:rFonts w:ascii="Times New Roman" w:hAnsi="Times New Roman"/>
          <w:sz w:val="28"/>
          <w:szCs w:val="28"/>
        </w:rPr>
        <w:t xml:space="preserve"> </w:t>
      </w:r>
      <w:r w:rsidR="006550FB">
        <w:rPr>
          <w:rFonts w:ascii="Times New Roman" w:hAnsi="Times New Roman"/>
          <w:sz w:val="28"/>
          <w:szCs w:val="28"/>
        </w:rPr>
        <w:t>бе</w:t>
      </w:r>
      <w:r w:rsidR="00FF7EA3">
        <w:rPr>
          <w:rFonts w:ascii="Times New Roman" w:hAnsi="Times New Roman"/>
          <w:sz w:val="28"/>
          <w:szCs w:val="28"/>
        </w:rPr>
        <w:t>р</w:t>
      </w:r>
      <w:r w:rsidR="006550FB">
        <w:rPr>
          <w:rFonts w:ascii="Times New Roman" w:hAnsi="Times New Roman"/>
          <w:sz w:val="28"/>
          <w:szCs w:val="28"/>
        </w:rPr>
        <w:t>ез</w:t>
      </w:r>
      <w:r w:rsidR="00FF7EA3">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6550FB">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0C3469C" w14:textId="4C75BC9B" w:rsidR="009C208D"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C208D">
        <w:rPr>
          <w:rFonts w:ascii="Times New Roman" w:hAnsi="Times New Roman"/>
          <w:sz w:val="28"/>
          <w:szCs w:val="28"/>
        </w:rPr>
        <w:t xml:space="preserve">він має статус обвинуваченого у </w:t>
      </w:r>
      <w:r w:rsidR="001F24E0">
        <w:rPr>
          <w:rFonts w:ascii="Times New Roman" w:hAnsi="Times New Roman"/>
          <w:sz w:val="28"/>
          <w:szCs w:val="28"/>
        </w:rPr>
        <w:t>кримінальному</w:t>
      </w:r>
      <w:r w:rsidR="009C208D">
        <w:rPr>
          <w:rFonts w:ascii="Times New Roman" w:hAnsi="Times New Roman"/>
          <w:sz w:val="28"/>
          <w:szCs w:val="28"/>
        </w:rPr>
        <w:t xml:space="preserve"> провадженні № </w:t>
      </w:r>
      <w:r w:rsidR="00827730">
        <w:rPr>
          <w:rFonts w:ascii="Times New Roman" w:hAnsi="Times New Roman"/>
          <w:sz w:val="28"/>
          <w:szCs w:val="28"/>
        </w:rPr>
        <w:t xml:space="preserve">(конфіденційна інформація) </w:t>
      </w:r>
      <w:r w:rsidR="009C208D">
        <w:rPr>
          <w:rFonts w:ascii="Times New Roman" w:hAnsi="Times New Roman"/>
          <w:sz w:val="28"/>
          <w:szCs w:val="28"/>
        </w:rPr>
        <w:t>від 18 вересня 2025 року</w:t>
      </w:r>
      <w:r w:rsidR="001F24E0">
        <w:rPr>
          <w:rFonts w:ascii="Times New Roman" w:hAnsi="Times New Roman"/>
          <w:sz w:val="28"/>
          <w:szCs w:val="28"/>
        </w:rPr>
        <w:t xml:space="preserve"> за вчинення кримінальних правопорушень, передбачених статтями 110, 436-2 Кримінального кодексу України, та наразі </w:t>
      </w:r>
      <w:r w:rsidR="00355689">
        <w:rPr>
          <w:rFonts w:ascii="Times New Roman" w:hAnsi="Times New Roman"/>
          <w:sz w:val="28"/>
          <w:szCs w:val="28"/>
        </w:rPr>
        <w:t>обвинувальний акт стосовно нього розглядається в Шевченківському районному суді м. Запоріжжя</w:t>
      </w:r>
      <w:r w:rsidR="001F24E0">
        <w:rPr>
          <w:rFonts w:ascii="Times New Roman" w:hAnsi="Times New Roman"/>
          <w:sz w:val="28"/>
          <w:szCs w:val="28"/>
        </w:rPr>
        <w:t>.</w:t>
      </w:r>
    </w:p>
    <w:p w14:paraId="7D0E9337" w14:textId="57BC56E1" w:rsidR="001F24E0" w:rsidRDefault="002E68BB"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t>Водночас</w:t>
      </w:r>
      <w:r w:rsidR="00355689">
        <w:rPr>
          <w:rFonts w:ascii="Times New Roman" w:hAnsi="Times New Roman"/>
          <w:sz w:val="28"/>
          <w:szCs w:val="28"/>
        </w:rPr>
        <w:t xml:space="preserve"> п</w:t>
      </w:r>
      <w:r w:rsidR="001F24E0">
        <w:rPr>
          <w:rFonts w:ascii="Times New Roman" w:hAnsi="Times New Roman"/>
          <w:sz w:val="28"/>
          <w:szCs w:val="28"/>
        </w:rPr>
        <w:t xml:space="preserve">ід час досудового розслідування він намагався надати </w:t>
      </w:r>
      <w:r w:rsidR="0020483A">
        <w:rPr>
          <w:rFonts w:ascii="Times New Roman" w:hAnsi="Times New Roman"/>
          <w:sz w:val="28"/>
          <w:szCs w:val="28"/>
        </w:rPr>
        <w:t xml:space="preserve">в Запорізьку обласну прокуратуру, </w:t>
      </w:r>
      <w:r w:rsidR="00D02452">
        <w:rPr>
          <w:rFonts w:ascii="Times New Roman" w:hAnsi="Times New Roman"/>
          <w:sz w:val="28"/>
          <w:szCs w:val="28"/>
        </w:rPr>
        <w:t xml:space="preserve">так і </w:t>
      </w:r>
      <w:r w:rsidR="0020483A">
        <w:rPr>
          <w:rFonts w:ascii="Times New Roman" w:hAnsi="Times New Roman"/>
          <w:sz w:val="28"/>
          <w:szCs w:val="28"/>
        </w:rPr>
        <w:t xml:space="preserve">особисто </w:t>
      </w:r>
      <w:r w:rsidR="001F24E0" w:rsidRPr="0016464A">
        <w:rPr>
          <w:rFonts w:ascii="Times New Roman" w:hAnsi="Times New Roman"/>
          <w:sz w:val="28"/>
          <w:szCs w:val="28"/>
        </w:rPr>
        <w:t>прокурор</w:t>
      </w:r>
      <w:r w:rsidR="001F24E0">
        <w:rPr>
          <w:rFonts w:ascii="Times New Roman" w:hAnsi="Times New Roman"/>
          <w:sz w:val="28"/>
          <w:szCs w:val="28"/>
        </w:rPr>
        <w:t>у</w:t>
      </w:r>
      <w:r w:rsidR="001F24E0" w:rsidRPr="0016464A">
        <w:rPr>
          <w:rFonts w:ascii="Times New Roman" w:hAnsi="Times New Roman"/>
          <w:sz w:val="28"/>
          <w:szCs w:val="28"/>
        </w:rPr>
        <w:t xml:space="preserve"> </w:t>
      </w:r>
      <w:r w:rsidR="001F24E0">
        <w:rPr>
          <w:rFonts w:ascii="Times New Roman" w:hAnsi="Times New Roman"/>
          <w:sz w:val="28"/>
          <w:szCs w:val="28"/>
        </w:rPr>
        <w:t>Нестеренку С.О</w:t>
      </w:r>
      <w:r w:rsidR="001F24E0" w:rsidRPr="0016464A">
        <w:rPr>
          <w:rFonts w:ascii="Times New Roman" w:hAnsi="Times New Roman"/>
          <w:sz w:val="28"/>
          <w:szCs w:val="28"/>
        </w:rPr>
        <w:t>.</w:t>
      </w:r>
      <w:r w:rsidR="0020483A">
        <w:rPr>
          <w:rFonts w:ascii="Times New Roman" w:hAnsi="Times New Roman"/>
          <w:sz w:val="28"/>
          <w:szCs w:val="28"/>
        </w:rPr>
        <w:t>,</w:t>
      </w:r>
      <w:r w:rsidR="001F24E0" w:rsidRPr="0016464A">
        <w:rPr>
          <w:rStyle w:val="ac"/>
          <w:rFonts w:ascii="Times New Roman" w:hAnsi="Times New Roman"/>
          <w:i w:val="0"/>
          <w:sz w:val="28"/>
          <w:szCs w:val="28"/>
          <w:shd w:val="clear" w:color="auto" w:fill="FFFFFF"/>
        </w:rPr>
        <w:t xml:space="preserve"> </w:t>
      </w:r>
      <w:r w:rsidR="001F24E0">
        <w:rPr>
          <w:rFonts w:ascii="Times New Roman" w:hAnsi="Times New Roman"/>
          <w:sz w:val="28"/>
          <w:szCs w:val="28"/>
        </w:rPr>
        <w:t>відомості відомих йому інших кримінальних правопорушень, які не стосу</w:t>
      </w:r>
      <w:r w:rsidR="00355689">
        <w:rPr>
          <w:rFonts w:ascii="Times New Roman" w:hAnsi="Times New Roman"/>
          <w:sz w:val="28"/>
          <w:szCs w:val="28"/>
        </w:rPr>
        <w:t>вали</w:t>
      </w:r>
      <w:r w:rsidR="001F24E0">
        <w:rPr>
          <w:rFonts w:ascii="Times New Roman" w:hAnsi="Times New Roman"/>
          <w:sz w:val="28"/>
          <w:szCs w:val="28"/>
        </w:rPr>
        <w:t>ся його кримінального провадження.</w:t>
      </w:r>
      <w:r w:rsidR="00293FEB">
        <w:rPr>
          <w:rFonts w:ascii="Times New Roman" w:hAnsi="Times New Roman"/>
          <w:sz w:val="28"/>
          <w:szCs w:val="28"/>
        </w:rPr>
        <w:t xml:space="preserve"> Не</w:t>
      </w:r>
      <w:r w:rsidR="0020483A">
        <w:rPr>
          <w:rFonts w:ascii="Times New Roman" w:hAnsi="Times New Roman"/>
          <w:sz w:val="28"/>
          <w:szCs w:val="28"/>
        </w:rPr>
        <w:t xml:space="preserve">зважаючи </w:t>
      </w:r>
      <w:r w:rsidR="00293FEB">
        <w:rPr>
          <w:rFonts w:ascii="Times New Roman" w:hAnsi="Times New Roman"/>
          <w:sz w:val="28"/>
          <w:szCs w:val="28"/>
        </w:rPr>
        <w:t>на це</w:t>
      </w:r>
      <w:r w:rsidR="0020483A">
        <w:rPr>
          <w:rFonts w:ascii="Times New Roman" w:hAnsi="Times New Roman"/>
          <w:sz w:val="28"/>
          <w:szCs w:val="28"/>
        </w:rPr>
        <w:t>,</w:t>
      </w:r>
      <w:r w:rsidR="00AC0D0A">
        <w:rPr>
          <w:rFonts w:ascii="Times New Roman" w:hAnsi="Times New Roman"/>
          <w:sz w:val="28"/>
          <w:szCs w:val="28"/>
        </w:rPr>
        <w:t xml:space="preserve"> </w:t>
      </w:r>
      <w:r w:rsidR="00355689">
        <w:rPr>
          <w:rFonts w:ascii="Times New Roman" w:hAnsi="Times New Roman"/>
          <w:sz w:val="28"/>
          <w:szCs w:val="28"/>
        </w:rPr>
        <w:t>надан</w:t>
      </w:r>
      <w:r w:rsidR="00A64C02">
        <w:rPr>
          <w:rFonts w:ascii="Times New Roman" w:hAnsi="Times New Roman"/>
          <w:sz w:val="28"/>
          <w:szCs w:val="28"/>
        </w:rPr>
        <w:t>у</w:t>
      </w:r>
      <w:r w:rsidR="00AC0D0A">
        <w:rPr>
          <w:rFonts w:ascii="Times New Roman" w:hAnsi="Times New Roman"/>
          <w:sz w:val="28"/>
          <w:szCs w:val="28"/>
        </w:rPr>
        <w:t xml:space="preserve"> </w:t>
      </w:r>
      <w:r w:rsidR="00A64C02">
        <w:rPr>
          <w:rFonts w:ascii="Times New Roman" w:hAnsi="Times New Roman"/>
          <w:sz w:val="28"/>
          <w:szCs w:val="28"/>
        </w:rPr>
        <w:t>інформацію</w:t>
      </w:r>
      <w:r w:rsidR="00AC0D0A">
        <w:rPr>
          <w:rFonts w:ascii="Times New Roman" w:hAnsi="Times New Roman"/>
          <w:sz w:val="28"/>
          <w:szCs w:val="28"/>
        </w:rPr>
        <w:t xml:space="preserve"> про злочин </w:t>
      </w:r>
      <w:r w:rsidR="0020483A">
        <w:rPr>
          <w:rFonts w:ascii="Times New Roman" w:hAnsi="Times New Roman"/>
          <w:sz w:val="28"/>
          <w:szCs w:val="28"/>
        </w:rPr>
        <w:t xml:space="preserve">вони </w:t>
      </w:r>
      <w:r w:rsidR="00AC0D0A">
        <w:rPr>
          <w:rFonts w:ascii="Times New Roman" w:hAnsi="Times New Roman"/>
          <w:sz w:val="28"/>
          <w:szCs w:val="28"/>
        </w:rPr>
        <w:t>проігнорува</w:t>
      </w:r>
      <w:r w:rsidR="00D02452">
        <w:rPr>
          <w:rFonts w:ascii="Times New Roman" w:hAnsi="Times New Roman"/>
          <w:sz w:val="28"/>
          <w:szCs w:val="28"/>
        </w:rPr>
        <w:t>ли</w:t>
      </w:r>
      <w:r w:rsidR="00AC0D0A">
        <w:rPr>
          <w:rFonts w:ascii="Times New Roman" w:hAnsi="Times New Roman"/>
          <w:sz w:val="28"/>
          <w:szCs w:val="28"/>
        </w:rPr>
        <w:t xml:space="preserve"> та відомості до Єдиного реєстру досудових розслідувань </w:t>
      </w:r>
      <w:r w:rsidR="0020483A">
        <w:rPr>
          <w:rFonts w:ascii="Times New Roman" w:hAnsi="Times New Roman"/>
          <w:sz w:val="28"/>
          <w:szCs w:val="28"/>
        </w:rPr>
        <w:t xml:space="preserve">(далі – ЄРДР) </w:t>
      </w:r>
      <w:r w:rsidR="00D02452">
        <w:rPr>
          <w:rFonts w:ascii="Times New Roman" w:hAnsi="Times New Roman"/>
          <w:sz w:val="28"/>
          <w:szCs w:val="28"/>
        </w:rPr>
        <w:t>в</w:t>
      </w:r>
      <w:r w:rsidR="00D02452" w:rsidRPr="00B847E1">
        <w:rPr>
          <w:rFonts w:ascii="Times New Roman" w:hAnsi="Times New Roman"/>
          <w:sz w:val="28"/>
          <w:szCs w:val="28"/>
        </w:rPr>
        <w:t>ідповідно до вимог ст</w:t>
      </w:r>
      <w:r w:rsidR="00D02452">
        <w:rPr>
          <w:rFonts w:ascii="Times New Roman" w:hAnsi="Times New Roman"/>
          <w:sz w:val="28"/>
          <w:szCs w:val="28"/>
        </w:rPr>
        <w:t>атті</w:t>
      </w:r>
      <w:r w:rsidR="00D02452" w:rsidRPr="00B847E1">
        <w:rPr>
          <w:rFonts w:ascii="Times New Roman" w:hAnsi="Times New Roman"/>
          <w:sz w:val="28"/>
          <w:szCs w:val="28"/>
        </w:rPr>
        <w:t xml:space="preserve"> 214 К</w:t>
      </w:r>
      <w:r w:rsidR="00D02452">
        <w:rPr>
          <w:rFonts w:ascii="Times New Roman" w:hAnsi="Times New Roman"/>
          <w:sz w:val="28"/>
          <w:szCs w:val="28"/>
        </w:rPr>
        <w:t>римінального процесуального кодексу (далі – КПК)</w:t>
      </w:r>
      <w:r w:rsidR="00D02452" w:rsidRPr="00B847E1">
        <w:rPr>
          <w:rFonts w:ascii="Times New Roman" w:hAnsi="Times New Roman"/>
          <w:sz w:val="28"/>
          <w:szCs w:val="28"/>
        </w:rPr>
        <w:t xml:space="preserve"> України </w:t>
      </w:r>
      <w:r w:rsidR="00AC0D0A">
        <w:rPr>
          <w:rFonts w:ascii="Times New Roman" w:hAnsi="Times New Roman"/>
          <w:sz w:val="28"/>
          <w:szCs w:val="28"/>
        </w:rPr>
        <w:t>не вн</w:t>
      </w:r>
      <w:r w:rsidR="00D02452">
        <w:rPr>
          <w:rFonts w:ascii="Times New Roman" w:hAnsi="Times New Roman"/>
          <w:sz w:val="28"/>
          <w:szCs w:val="28"/>
        </w:rPr>
        <w:t>е</w:t>
      </w:r>
      <w:r w:rsidR="00AC0D0A">
        <w:rPr>
          <w:rFonts w:ascii="Times New Roman" w:hAnsi="Times New Roman"/>
          <w:sz w:val="28"/>
          <w:szCs w:val="28"/>
        </w:rPr>
        <w:t>с</w:t>
      </w:r>
      <w:r w:rsidR="00D02452">
        <w:rPr>
          <w:rFonts w:ascii="Times New Roman" w:hAnsi="Times New Roman"/>
          <w:sz w:val="28"/>
          <w:szCs w:val="28"/>
        </w:rPr>
        <w:t>ли</w:t>
      </w:r>
      <w:r w:rsidR="00AC0D0A">
        <w:rPr>
          <w:rFonts w:ascii="Times New Roman" w:hAnsi="Times New Roman"/>
          <w:sz w:val="28"/>
          <w:szCs w:val="28"/>
        </w:rPr>
        <w:t>.</w:t>
      </w:r>
    </w:p>
    <w:p w14:paraId="67077F2F" w14:textId="77777777" w:rsidR="0020483A" w:rsidRDefault="0020483A" w:rsidP="0020483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переконання скаржника, такими діями (бездіяльністю) </w:t>
      </w:r>
      <w:r w:rsidRPr="00330301">
        <w:rPr>
          <w:rFonts w:ascii="Times New Roman" w:hAnsi="Times New Roman"/>
          <w:sz w:val="28"/>
          <w:szCs w:val="28"/>
        </w:rPr>
        <w:t xml:space="preserve">прокурор </w:t>
      </w:r>
      <w:r>
        <w:rPr>
          <w:rFonts w:ascii="Times New Roman" w:hAnsi="Times New Roman"/>
          <w:sz w:val="28"/>
          <w:szCs w:val="28"/>
        </w:rPr>
        <w:t>Нестеренко С.О</w:t>
      </w:r>
      <w:r w:rsidRPr="00330301">
        <w:rPr>
          <w:rFonts w:ascii="Times New Roman" w:hAnsi="Times New Roman"/>
          <w:sz w:val="28"/>
          <w:szCs w:val="28"/>
        </w:rPr>
        <w:t>.</w:t>
      </w:r>
      <w:r>
        <w:rPr>
          <w:rFonts w:ascii="Times New Roman" w:hAnsi="Times New Roman"/>
          <w:sz w:val="28"/>
          <w:szCs w:val="28"/>
        </w:rPr>
        <w:t xml:space="preserve"> порушив пункт 3 частини першої статті 2, частину першу </w:t>
      </w:r>
      <w:r>
        <w:rPr>
          <w:rFonts w:ascii="Times New Roman" w:hAnsi="Times New Roman"/>
          <w:sz w:val="28"/>
          <w:szCs w:val="28"/>
        </w:rPr>
        <w:br/>
        <w:t xml:space="preserve">статті 25 Закону України «Про прокуратуру» частину першу статті 214 КПК </w:t>
      </w:r>
      <w:r>
        <w:rPr>
          <w:rFonts w:ascii="Times New Roman" w:hAnsi="Times New Roman"/>
          <w:sz w:val="28"/>
          <w:szCs w:val="28"/>
        </w:rPr>
        <w:lastRenderedPageBreak/>
        <w:t>України</w:t>
      </w:r>
      <w:r w:rsidRPr="006550FB">
        <w:rPr>
          <w:rFonts w:ascii="Times New Roman" w:hAnsi="Times New Roman"/>
          <w:sz w:val="28"/>
          <w:szCs w:val="28"/>
        </w:rPr>
        <w:t xml:space="preserve"> </w:t>
      </w:r>
      <w:r>
        <w:rPr>
          <w:rFonts w:ascii="Times New Roman" w:hAnsi="Times New Roman"/>
          <w:sz w:val="28"/>
          <w:szCs w:val="28"/>
        </w:rPr>
        <w:t xml:space="preserve">та розділів І </w:t>
      </w:r>
      <w:proofErr w:type="spellStart"/>
      <w:r>
        <w:rPr>
          <w:rFonts w:ascii="Times New Roman" w:hAnsi="Times New Roman"/>
          <w:sz w:val="28"/>
          <w:szCs w:val="28"/>
        </w:rPr>
        <w:t>і</w:t>
      </w:r>
      <w:proofErr w:type="spellEnd"/>
      <w:r>
        <w:rPr>
          <w:rFonts w:ascii="Times New Roman" w:hAnsi="Times New Roman"/>
          <w:sz w:val="28"/>
          <w:szCs w:val="28"/>
        </w:rPr>
        <w:t xml:space="preserve"> ІІ Положення про </w:t>
      </w:r>
      <w:r w:rsidRPr="0020483A">
        <w:rPr>
          <w:rFonts w:ascii="Times New Roman" w:hAnsi="Times New Roman"/>
          <w:sz w:val="28"/>
          <w:szCs w:val="28"/>
        </w:rPr>
        <w:t>Єдиний реєстр досудових розслідувань, порядок його формування та ведення</w:t>
      </w:r>
      <w:r>
        <w:rPr>
          <w:rFonts w:ascii="Times New Roman" w:hAnsi="Times New Roman"/>
          <w:sz w:val="28"/>
          <w:szCs w:val="28"/>
        </w:rPr>
        <w:t>.</w:t>
      </w:r>
    </w:p>
    <w:p w14:paraId="558CBABA" w14:textId="769D6F3A" w:rsidR="002E68BB" w:rsidRDefault="002E68BB"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У зв’язку з цим просить розслідувати вчинений злочин прокурором Нестеренком С.О. за приховування інформації про зрадників України, зобов’язати його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відомості про вказані вище злочини до ЄРДР </w:t>
      </w:r>
      <w:r w:rsidR="006550FB">
        <w:rPr>
          <w:rFonts w:ascii="Times New Roman" w:hAnsi="Times New Roman"/>
          <w:sz w:val="28"/>
          <w:szCs w:val="28"/>
        </w:rPr>
        <w:t xml:space="preserve">та </w:t>
      </w:r>
      <w:r>
        <w:rPr>
          <w:rFonts w:ascii="Times New Roman" w:hAnsi="Times New Roman"/>
          <w:sz w:val="28"/>
          <w:szCs w:val="28"/>
        </w:rPr>
        <w:t>притягнути до дисциплінарної відповідальності</w:t>
      </w:r>
      <w:r w:rsidR="006550FB">
        <w:rPr>
          <w:rFonts w:ascii="Times New Roman" w:hAnsi="Times New Roman"/>
          <w:sz w:val="28"/>
          <w:szCs w:val="28"/>
        </w:rPr>
        <w:t>.</w:t>
      </w:r>
    </w:p>
    <w:p w14:paraId="4812406B" w14:textId="77777777" w:rsidR="006550FB" w:rsidRDefault="006550FB" w:rsidP="006550FB">
      <w:pPr>
        <w:widowControl w:val="0"/>
        <w:tabs>
          <w:tab w:val="left" w:pos="567"/>
          <w:tab w:val="left" w:pos="851"/>
        </w:tabs>
        <w:spacing w:after="0" w:line="240" w:lineRule="auto"/>
        <w:ind w:firstLine="567"/>
        <w:contextualSpacing/>
        <w:jc w:val="both"/>
        <w:rPr>
          <w:rFonts w:ascii="Times New Roman" w:hAnsi="Times New Roman"/>
          <w:sz w:val="28"/>
          <w:szCs w:val="28"/>
        </w:rPr>
      </w:pPr>
      <w:r w:rsidRPr="00330301">
        <w:rPr>
          <w:rFonts w:ascii="Times New Roman" w:hAnsi="Times New Roman"/>
          <w:sz w:val="28"/>
          <w:szCs w:val="28"/>
        </w:rPr>
        <w:t>Тому, за викладених обставин, скаржник вважа</w:t>
      </w:r>
      <w:r>
        <w:rPr>
          <w:rFonts w:ascii="Times New Roman" w:hAnsi="Times New Roman"/>
          <w:sz w:val="28"/>
          <w:szCs w:val="28"/>
        </w:rPr>
        <w:t>є</w:t>
      </w:r>
      <w:r w:rsidRPr="00330301">
        <w:rPr>
          <w:rFonts w:ascii="Times New Roman" w:hAnsi="Times New Roman"/>
          <w:sz w:val="28"/>
          <w:szCs w:val="28"/>
        </w:rPr>
        <w:t xml:space="preserve">, що прокурор </w:t>
      </w:r>
      <w:r>
        <w:rPr>
          <w:rFonts w:ascii="Times New Roman" w:hAnsi="Times New Roman"/>
          <w:sz w:val="28"/>
          <w:szCs w:val="28"/>
        </w:rPr>
        <w:t>Нестеренко С.О</w:t>
      </w:r>
      <w:r w:rsidRPr="00330301">
        <w:rPr>
          <w:rFonts w:ascii="Times New Roman" w:hAnsi="Times New Roman"/>
          <w:sz w:val="28"/>
          <w:szCs w:val="28"/>
        </w:rPr>
        <w:t>. підляга</w:t>
      </w:r>
      <w:r>
        <w:rPr>
          <w:rFonts w:ascii="Times New Roman" w:hAnsi="Times New Roman"/>
          <w:sz w:val="28"/>
          <w:szCs w:val="28"/>
        </w:rPr>
        <w:t>є</w:t>
      </w:r>
      <w:r w:rsidRPr="00330301">
        <w:rPr>
          <w:rFonts w:ascii="Times New Roman" w:hAnsi="Times New Roman"/>
          <w:sz w:val="28"/>
          <w:szCs w:val="28"/>
        </w:rPr>
        <w:t xml:space="preserve"> притягненню до дисциплінарної відповідальності на підставі пункт</w:t>
      </w:r>
      <w:r>
        <w:rPr>
          <w:rFonts w:ascii="Times New Roman" w:hAnsi="Times New Roman"/>
          <w:sz w:val="28"/>
          <w:szCs w:val="28"/>
        </w:rPr>
        <w:t>ів</w:t>
      </w:r>
      <w:r w:rsidRPr="00330301">
        <w:rPr>
          <w:rFonts w:ascii="Times New Roman" w:hAnsi="Times New Roman"/>
          <w:sz w:val="28"/>
          <w:szCs w:val="28"/>
        </w:rPr>
        <w:t xml:space="preserve"> 1 (невиконання чи неналежне виконання службових обов’язків) </w:t>
      </w:r>
      <w:r>
        <w:rPr>
          <w:rFonts w:ascii="Times New Roman" w:hAnsi="Times New Roman"/>
          <w:sz w:val="28"/>
          <w:szCs w:val="28"/>
        </w:rPr>
        <w:t>та 5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rPr>
        <w:t xml:space="preserve">) </w:t>
      </w:r>
      <w:r w:rsidRPr="00330301">
        <w:rPr>
          <w:rFonts w:ascii="Times New Roman" w:hAnsi="Times New Roman"/>
          <w:sz w:val="28"/>
          <w:szCs w:val="28"/>
        </w:rPr>
        <w:t>частини першої статті 43 Закону України «Про прокуратуру» від 14 жовтня 2014 року №</w:t>
      </w:r>
      <w:r>
        <w:rPr>
          <w:rFonts w:ascii="Times New Roman" w:hAnsi="Times New Roman"/>
          <w:sz w:val="28"/>
          <w:szCs w:val="28"/>
        </w:rPr>
        <w:t> </w:t>
      </w:r>
      <w:r w:rsidRPr="00330301">
        <w:rPr>
          <w:rFonts w:ascii="Times New Roman" w:hAnsi="Times New Roman"/>
          <w:sz w:val="28"/>
          <w:szCs w:val="28"/>
        </w:rPr>
        <w:t>1697 VII (далі – Закон № 1697 VII).</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4D979749"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20483A" w:rsidRPr="00BE3923">
        <w:rPr>
          <w:rFonts w:ascii="Times New Roman" w:hAnsi="Times New Roman"/>
          <w:sz w:val="28"/>
          <w:szCs w:val="28"/>
        </w:rPr>
        <w:t>долучено</w:t>
      </w:r>
      <w:r w:rsidR="0020483A">
        <w:rPr>
          <w:rFonts w:ascii="Times New Roman" w:hAnsi="Times New Roman"/>
          <w:sz w:val="28"/>
          <w:szCs w:val="28"/>
        </w:rPr>
        <w:t xml:space="preserve"> копії таких </w:t>
      </w:r>
      <w:r w:rsidR="000A7791">
        <w:rPr>
          <w:rFonts w:ascii="Times New Roman" w:hAnsi="Times New Roman"/>
          <w:sz w:val="28"/>
          <w:szCs w:val="28"/>
        </w:rPr>
        <w:t>документів</w:t>
      </w:r>
      <w:r w:rsidR="0020483A">
        <w:rPr>
          <w:rFonts w:ascii="Times New Roman" w:hAnsi="Times New Roman"/>
          <w:sz w:val="28"/>
          <w:szCs w:val="28"/>
        </w:rPr>
        <w:t>: листа Запорізької обласної прокуратури від 02.12.2025 № 10-1211ВИХ-25</w:t>
      </w:r>
      <w:r w:rsidR="00B67648">
        <w:rPr>
          <w:rFonts w:ascii="Times New Roman" w:hAnsi="Times New Roman"/>
          <w:sz w:val="28"/>
          <w:szCs w:val="28"/>
        </w:rPr>
        <w:t xml:space="preserve"> </w:t>
      </w:r>
      <w:r w:rsidR="0020611D">
        <w:rPr>
          <w:rFonts w:ascii="Times New Roman" w:hAnsi="Times New Roman"/>
          <w:sz w:val="28"/>
          <w:szCs w:val="28"/>
        </w:rPr>
        <w:t xml:space="preserve">про направлення звернення </w:t>
      </w:r>
      <w:r w:rsidR="009A1FA8">
        <w:rPr>
          <w:rFonts w:ascii="Times New Roman" w:hAnsi="Times New Roman"/>
          <w:sz w:val="28"/>
          <w:szCs w:val="28"/>
        </w:rPr>
        <w:t xml:space="preserve">ОСОБА_1 </w:t>
      </w:r>
      <w:r w:rsidR="0020611D">
        <w:rPr>
          <w:rFonts w:ascii="Times New Roman" w:hAnsi="Times New Roman"/>
          <w:sz w:val="28"/>
          <w:szCs w:val="28"/>
        </w:rPr>
        <w:t xml:space="preserve">для розгляду до СВ УСБУ в Запорізькій області </w:t>
      </w:r>
      <w:r w:rsidR="00B67648">
        <w:rPr>
          <w:rFonts w:ascii="Times New Roman" w:hAnsi="Times New Roman"/>
          <w:sz w:val="28"/>
          <w:szCs w:val="28"/>
        </w:rPr>
        <w:t xml:space="preserve">з конвертом; пояснень </w:t>
      </w:r>
      <w:r w:rsidR="009A1FA8">
        <w:rPr>
          <w:rFonts w:ascii="Times New Roman" w:hAnsi="Times New Roman"/>
          <w:sz w:val="28"/>
          <w:szCs w:val="28"/>
        </w:rPr>
        <w:t xml:space="preserve">ОСОБА_1 </w:t>
      </w:r>
      <w:r w:rsidR="0020611D">
        <w:rPr>
          <w:rFonts w:ascii="Times New Roman" w:hAnsi="Times New Roman"/>
          <w:sz w:val="28"/>
          <w:szCs w:val="28"/>
        </w:rPr>
        <w:t>щ</w:t>
      </w:r>
      <w:r w:rsidR="00B67648">
        <w:rPr>
          <w:rFonts w:ascii="Times New Roman" w:hAnsi="Times New Roman"/>
          <w:sz w:val="28"/>
          <w:szCs w:val="28"/>
        </w:rPr>
        <w:t>о</w:t>
      </w:r>
      <w:r w:rsidR="0020611D">
        <w:rPr>
          <w:rFonts w:ascii="Times New Roman" w:hAnsi="Times New Roman"/>
          <w:sz w:val="28"/>
          <w:szCs w:val="28"/>
        </w:rPr>
        <w:t>до</w:t>
      </w:r>
      <w:r w:rsidR="00B67648">
        <w:rPr>
          <w:rFonts w:ascii="Times New Roman" w:hAnsi="Times New Roman"/>
          <w:sz w:val="28"/>
          <w:szCs w:val="28"/>
        </w:rPr>
        <w:t xml:space="preserve"> повідомлення про злочин </w:t>
      </w:r>
      <w:r w:rsidR="0020611D">
        <w:rPr>
          <w:rFonts w:ascii="Times New Roman" w:hAnsi="Times New Roman"/>
          <w:sz w:val="28"/>
          <w:szCs w:val="28"/>
        </w:rPr>
        <w:br/>
      </w:r>
      <w:r w:rsidR="00B67648">
        <w:rPr>
          <w:rFonts w:ascii="Times New Roman" w:hAnsi="Times New Roman"/>
          <w:sz w:val="28"/>
          <w:szCs w:val="28"/>
        </w:rPr>
        <w:t>в порядку статті 111 КК України від 26.02.2026</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w:t>
      </w:r>
      <w:proofErr w:type="spellStart"/>
      <w:r w:rsidRPr="00B847E1">
        <w:rPr>
          <w:rFonts w:ascii="Times New Roman" w:hAnsi="Times New Roman"/>
          <w:sz w:val="28"/>
          <w:szCs w:val="28"/>
        </w:rPr>
        <w:t>дізнавач</w:t>
      </w:r>
      <w:proofErr w:type="spellEnd"/>
      <w:r w:rsidRPr="00B847E1">
        <w:rPr>
          <w:rFonts w:ascii="Times New Roman" w:hAnsi="Times New Roman"/>
          <w:sz w:val="28"/>
          <w:szCs w:val="28"/>
        </w:rPr>
        <w:t xml:space="preserve">, прокурор невідкладно, але не пізніше 24 годин після подання заяви, повідомлення про </w:t>
      </w:r>
      <w:r w:rsidRPr="00B847E1">
        <w:rPr>
          <w:rFonts w:ascii="Times New Roman" w:hAnsi="Times New Roman"/>
          <w:sz w:val="28"/>
          <w:szCs w:val="28"/>
        </w:rPr>
        <w:lastRenderedPageBreak/>
        <w:t xml:space="preserve">вчинене кримінальне правопорушення, зобов’язаний </w:t>
      </w:r>
      <w:proofErr w:type="spellStart"/>
      <w:r w:rsidRPr="00B847E1">
        <w:rPr>
          <w:rFonts w:ascii="Times New Roman" w:hAnsi="Times New Roman"/>
          <w:sz w:val="28"/>
          <w:szCs w:val="28"/>
        </w:rPr>
        <w:t>внести</w:t>
      </w:r>
      <w:proofErr w:type="spellEnd"/>
      <w:r w:rsidRPr="00B847E1">
        <w:rPr>
          <w:rFonts w:ascii="Times New Roman" w:hAnsi="Times New Roman"/>
          <w:sz w:val="28"/>
          <w:szCs w:val="28"/>
        </w:rPr>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w:t>
      </w:r>
      <w:r w:rsidRPr="00B847E1">
        <w:rPr>
          <w:rFonts w:ascii="Times New Roman" w:hAnsi="Times New Roman"/>
          <w:sz w:val="28"/>
          <w:szCs w:val="28"/>
        </w:rPr>
        <w:lastRenderedPageBreak/>
        <w:t>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C40B16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w:t>
      </w:r>
      <w:r w:rsidR="00A64C02">
        <w:rPr>
          <w:rFonts w:ascii="Times New Roman" w:hAnsi="Times New Roman"/>
          <w:sz w:val="28"/>
          <w:szCs w:val="28"/>
        </w:rPr>
        <w:t xml:space="preserve"> червня </w:t>
      </w:r>
      <w:r w:rsidRPr="00B847E1">
        <w:rPr>
          <w:rFonts w:ascii="Times New Roman" w:hAnsi="Times New Roman"/>
          <w:sz w:val="28"/>
          <w:szCs w:val="28"/>
        </w:rPr>
        <w:t>2018</w:t>
      </w:r>
      <w:r w:rsidR="00A64C02">
        <w:rPr>
          <w:rFonts w:ascii="Times New Roman" w:hAnsi="Times New Roman"/>
          <w:sz w:val="28"/>
          <w:szCs w:val="28"/>
        </w:rPr>
        <w:t xml:space="preserve"> року</w:t>
      </w:r>
      <w:r w:rsidRPr="00B847E1">
        <w:rPr>
          <w:rFonts w:ascii="Times New Roman" w:hAnsi="Times New Roman"/>
          <w:sz w:val="28"/>
          <w:szCs w:val="28"/>
        </w:rPr>
        <w:t xml:space="preserve"> (справа №</w:t>
      </w:r>
      <w:r w:rsidR="00A64C02">
        <w:rPr>
          <w:rFonts w:ascii="Times New Roman" w:hAnsi="Times New Roman"/>
          <w:sz w:val="28"/>
          <w:szCs w:val="28"/>
        </w:rPr>
        <w:t> </w:t>
      </w:r>
      <w:r w:rsidRPr="00B847E1">
        <w:rPr>
          <w:rFonts w:ascii="Times New Roman" w:hAnsi="Times New Roman"/>
          <w:sz w:val="28"/>
          <w:szCs w:val="28"/>
        </w:rPr>
        <w:t xml:space="preserve">9901/486/18) зазначено, що Комісія </w:t>
      </w:r>
      <w:r w:rsidR="00A64C02">
        <w:rPr>
          <w:rFonts w:ascii="Times New Roman" w:hAnsi="Times New Roman"/>
          <w:sz w:val="28"/>
          <w:szCs w:val="28"/>
        </w:rPr>
        <w:br/>
      </w:r>
      <w:r w:rsidRPr="00B847E1">
        <w:rPr>
          <w:rFonts w:ascii="Times New Roman" w:hAnsi="Times New Roman"/>
          <w:sz w:val="28"/>
          <w:szCs w:val="28"/>
        </w:rPr>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04EE46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A64C02">
        <w:rPr>
          <w:rFonts w:ascii="Times New Roman" w:hAnsi="Times New Roman"/>
          <w:sz w:val="28"/>
          <w:szCs w:val="28"/>
        </w:rPr>
        <w:t xml:space="preserve"> квітня </w:t>
      </w:r>
      <w:r w:rsidRPr="00B847E1">
        <w:rPr>
          <w:rFonts w:ascii="Times New Roman" w:hAnsi="Times New Roman"/>
          <w:sz w:val="28"/>
          <w:szCs w:val="28"/>
        </w:rPr>
        <w:t>2017</w:t>
      </w:r>
      <w:r w:rsidR="00A64C02">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6288CD3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A64C02">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29D8AA3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3B2D17">
        <w:rPr>
          <w:rFonts w:ascii="Times New Roman" w:hAnsi="Times New Roman"/>
          <w:sz w:val="28"/>
          <w:szCs w:val="28"/>
        </w:rPr>
        <w:t>астини другої</w:t>
      </w:r>
      <w:r w:rsidRPr="00B847E1">
        <w:rPr>
          <w:rFonts w:ascii="Times New Roman" w:hAnsi="Times New Roman"/>
          <w:sz w:val="28"/>
          <w:szCs w:val="28"/>
        </w:rPr>
        <w:t xml:space="preserve"> ст</w:t>
      </w:r>
      <w:r w:rsidR="003B2D17">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F06B293"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3B2D17">
        <w:rPr>
          <w:rFonts w:ascii="Times New Roman" w:hAnsi="Times New Roman"/>
          <w:sz w:val="28"/>
          <w:szCs w:val="28"/>
        </w:rPr>
        <w:t>Нестеренка С.О</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sidRPr="004F54F1">
        <w:rPr>
          <w:rFonts w:ascii="Times New Roman" w:hAnsi="Times New Roman"/>
          <w:sz w:val="28"/>
          <w:szCs w:val="28"/>
        </w:rPr>
        <w:lastRenderedPageBreak/>
        <w:t xml:space="preserve">сторону дисциплінарного проступку характеризує вина, а його суб’єктом є конкретно визначений прокурор. </w:t>
      </w:r>
    </w:p>
    <w:p w14:paraId="319AD5B9" w14:textId="18C61D8F"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95208">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C56C04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3B2D17">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3B2D17">
        <w:rPr>
          <w:rFonts w:ascii="Times New Roman" w:hAnsi="Times New Roman"/>
          <w:sz w:val="28"/>
          <w:szCs w:val="28"/>
        </w:rPr>
        <w:t>Нестеренка С.О</w:t>
      </w:r>
      <w:r w:rsidR="004F54F1">
        <w:rPr>
          <w:rFonts w:ascii="Times New Roman" w:hAnsi="Times New Roman"/>
          <w:sz w:val="28"/>
          <w:szCs w:val="28"/>
        </w:rPr>
        <w:t>.</w:t>
      </w:r>
    </w:p>
    <w:p w14:paraId="1D88CADB" w14:textId="2F0297D5"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3ADC9F15" w14:textId="58B8068C"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sidR="003B2D17">
        <w:rPr>
          <w:rFonts w:ascii="Times New Roman" w:hAnsi="Times New Roman"/>
          <w:sz w:val="28"/>
          <w:szCs w:val="28"/>
        </w:rPr>
        <w:t>Нестеренка С.О</w:t>
      </w:r>
      <w:r w:rsidRPr="00900FF8">
        <w:rPr>
          <w:rFonts w:ascii="Times New Roman" w:hAnsi="Times New Roman"/>
          <w:sz w:val="28"/>
          <w:szCs w:val="28"/>
        </w:rPr>
        <w:t xml:space="preserve">. визнавались неправомірними.  </w:t>
      </w:r>
    </w:p>
    <w:p w14:paraId="78EEDD1C" w14:textId="15185F4E" w:rsidR="00E83138"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3B2D17">
        <w:rPr>
          <w:rFonts w:ascii="Times New Roman" w:hAnsi="Times New Roman"/>
          <w:sz w:val="28"/>
          <w:szCs w:val="28"/>
        </w:rPr>
        <w:t>Нестеренком С.О</w:t>
      </w:r>
      <w:r>
        <w:rPr>
          <w:rFonts w:ascii="Times New Roman" w:hAnsi="Times New Roman"/>
          <w:sz w:val="28"/>
          <w:szCs w:val="28"/>
        </w:rPr>
        <w:t xml:space="preserve">. </w:t>
      </w:r>
      <w:r w:rsidR="003B2D17">
        <w:rPr>
          <w:rFonts w:ascii="Times New Roman" w:hAnsi="Times New Roman"/>
          <w:sz w:val="28"/>
          <w:szCs w:val="28"/>
        </w:rPr>
        <w:br/>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w:t>
      </w:r>
      <w:r w:rsidR="00395208">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є суб’єктивн</w:t>
      </w:r>
      <w:r w:rsidR="00395208">
        <w:rPr>
          <w:rFonts w:ascii="Times New Roman" w:eastAsia="Times New Roman" w:hAnsi="Times New Roman"/>
          <w:sz w:val="28"/>
          <w:szCs w:val="28"/>
          <w:lang w:eastAsia="uk-UA"/>
        </w:rPr>
        <w:t>им</w:t>
      </w:r>
      <w:r w:rsidRPr="00E864B5">
        <w:rPr>
          <w:rFonts w:ascii="Times New Roman" w:eastAsia="Times New Roman" w:hAnsi="Times New Roman"/>
          <w:sz w:val="28"/>
          <w:szCs w:val="28"/>
          <w:lang w:eastAsia="uk-UA"/>
        </w:rPr>
        <w:t xml:space="preserve">. </w:t>
      </w:r>
    </w:p>
    <w:p w14:paraId="5017A4D4" w14:textId="77777777" w:rsidR="00395208" w:rsidRPr="00395208" w:rsidRDefault="00395208" w:rsidP="00395208">
      <w:pPr>
        <w:spacing w:after="0" w:line="240" w:lineRule="auto"/>
        <w:ind w:firstLine="567"/>
        <w:jc w:val="both"/>
        <w:rPr>
          <w:rFonts w:ascii="Times New Roman" w:eastAsia="Times New Roman" w:hAnsi="Times New Roman"/>
          <w:sz w:val="28"/>
          <w:szCs w:val="28"/>
          <w:lang w:eastAsia="uk-UA"/>
        </w:rPr>
      </w:pPr>
      <w:r w:rsidRPr="00395208">
        <w:rPr>
          <w:rFonts w:ascii="Times New Roman" w:eastAsia="Times New Roman" w:hAnsi="Times New Roman"/>
          <w:sz w:val="28"/>
          <w:szCs w:val="28"/>
          <w:lang w:eastAsia="uk-UA"/>
        </w:rPr>
        <w:t>Щодо доводів скаржника про вчинення прокурором Нестеренком С.О.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61B4091" w14:textId="77777777" w:rsidR="00395208" w:rsidRPr="00395208" w:rsidRDefault="00395208" w:rsidP="00395208">
      <w:pPr>
        <w:spacing w:after="0" w:line="240" w:lineRule="auto"/>
        <w:ind w:firstLine="567"/>
        <w:jc w:val="both"/>
        <w:rPr>
          <w:rFonts w:ascii="Times New Roman" w:eastAsia="Times New Roman" w:hAnsi="Times New Roman"/>
          <w:sz w:val="28"/>
          <w:szCs w:val="28"/>
          <w:lang w:eastAsia="uk-UA"/>
        </w:rPr>
      </w:pPr>
      <w:r w:rsidRPr="00395208">
        <w:rPr>
          <w:rFonts w:ascii="Times New Roman" w:eastAsia="Times New Roman" w:hAnsi="Times New Roman"/>
          <w:sz w:val="28"/>
          <w:szCs w:val="28"/>
          <w:lang w:eastAsia="uk-UA"/>
        </w:rPr>
        <w:lastRenderedPageBreak/>
        <w:t>Відповідно до усталеної практики Комісії, до таких дій належать: вчинення дій, що містять ознаки корупційних або пов’язаних із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які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та «Про прокуратуру».</w:t>
      </w:r>
    </w:p>
    <w:p w14:paraId="00F9D700" w14:textId="4E88D590" w:rsidR="00395208" w:rsidRDefault="00395208" w:rsidP="00395208">
      <w:pPr>
        <w:spacing w:after="0" w:line="240" w:lineRule="auto"/>
        <w:ind w:firstLine="567"/>
        <w:jc w:val="both"/>
        <w:rPr>
          <w:rFonts w:ascii="Times New Roman" w:eastAsia="Times New Roman" w:hAnsi="Times New Roman"/>
          <w:sz w:val="28"/>
          <w:szCs w:val="28"/>
          <w:lang w:eastAsia="uk-UA"/>
        </w:rPr>
      </w:pPr>
      <w:r w:rsidRPr="00395208">
        <w:rPr>
          <w:rFonts w:ascii="Times New Roman" w:eastAsia="Times New Roman" w:hAnsi="Times New Roman"/>
          <w:sz w:val="28"/>
          <w:szCs w:val="28"/>
          <w:lang w:eastAsia="uk-UA"/>
        </w:rPr>
        <w:t>У дисциплінарній скарзі не наведено жодних доводів щодо вчинення прокурором Нестеренком С.О. будь-якої з вищезазначених дій.</w:t>
      </w:r>
    </w:p>
    <w:p w14:paraId="67A72AE6" w14:textId="7C92DC2A" w:rsidR="00E13268" w:rsidRDefault="00E13268" w:rsidP="00E13268">
      <w:pPr>
        <w:spacing w:after="0" w:line="240" w:lineRule="auto"/>
        <w:ind w:firstLine="567"/>
        <w:jc w:val="both"/>
        <w:rPr>
          <w:rFonts w:ascii="Times New Roman" w:hAnsi="Times New Roman"/>
          <w:sz w:val="28"/>
          <w:szCs w:val="28"/>
        </w:rPr>
      </w:pPr>
      <w:r w:rsidRPr="0062622E">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62622E">
        <w:rPr>
          <w:rFonts w:ascii="Times New Roman" w:hAnsi="Times New Roman"/>
          <w:sz w:val="28"/>
          <w:szCs w:val="28"/>
        </w:rPr>
        <w:t>не наділені повноваженнями щодо встановлення факту вчинення кримінальних правопорушень, їх реєстрації в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А тому перевірка тверджень скаржника про те, що прокурором скоєно злочин</w:t>
      </w:r>
      <w:r>
        <w:rPr>
          <w:rFonts w:ascii="Times New Roman" w:hAnsi="Times New Roman"/>
          <w:sz w:val="28"/>
          <w:szCs w:val="28"/>
        </w:rPr>
        <w:t>и</w:t>
      </w:r>
      <w:r w:rsidRPr="0062622E">
        <w:rPr>
          <w:rFonts w:ascii="Times New Roman" w:hAnsi="Times New Roman"/>
          <w:sz w:val="28"/>
          <w:szCs w:val="28"/>
        </w:rPr>
        <w:t xml:space="preserve">, не належить до повноважень Комісії, а потребує перевірки в рамках кримінального провадження.  </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7182450"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3B2D17">
        <w:rPr>
          <w:rFonts w:ascii="Times New Roman" w:hAnsi="Times New Roman"/>
          <w:sz w:val="28"/>
          <w:szCs w:val="28"/>
        </w:rPr>
        <w:t xml:space="preserve">прокурора відділу </w:t>
      </w:r>
      <w:r w:rsidR="003B2D17" w:rsidRPr="009C208D">
        <w:rPr>
          <w:rFonts w:ascii="Times New Roman" w:hAnsi="Times New Roman"/>
          <w:sz w:val="28"/>
          <w:szCs w:val="28"/>
        </w:rPr>
        <w:t xml:space="preserve">нагляду за додержанням законів регіональним органом безпеки </w:t>
      </w:r>
      <w:r w:rsidR="003B2D17">
        <w:rPr>
          <w:rFonts w:ascii="Times New Roman" w:hAnsi="Times New Roman"/>
          <w:sz w:val="28"/>
          <w:szCs w:val="28"/>
        </w:rPr>
        <w:t>Запорізької обласної</w:t>
      </w:r>
      <w:r w:rsidR="003B2D17" w:rsidRPr="0016464A">
        <w:rPr>
          <w:rFonts w:ascii="Times New Roman" w:hAnsi="Times New Roman"/>
          <w:sz w:val="28"/>
          <w:szCs w:val="28"/>
        </w:rPr>
        <w:t xml:space="preserve"> прокура</w:t>
      </w:r>
      <w:r w:rsidR="003B2D17">
        <w:rPr>
          <w:rFonts w:ascii="Times New Roman" w:hAnsi="Times New Roman"/>
          <w:sz w:val="28"/>
          <w:szCs w:val="28"/>
        </w:rPr>
        <w:t>тури Нестеренка Сергія Олександровича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5C4F5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091F" w14:textId="77777777" w:rsidR="00374B4D" w:rsidRDefault="00374B4D" w:rsidP="00E32F4B">
      <w:pPr>
        <w:spacing w:after="0" w:line="240" w:lineRule="auto"/>
      </w:pPr>
      <w:r>
        <w:separator/>
      </w:r>
    </w:p>
  </w:endnote>
  <w:endnote w:type="continuationSeparator" w:id="0">
    <w:p w14:paraId="11CF9D5B" w14:textId="77777777" w:rsidR="00374B4D" w:rsidRDefault="00374B4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23A7" w14:textId="77777777" w:rsidR="00374B4D" w:rsidRDefault="00374B4D" w:rsidP="00E32F4B">
      <w:pPr>
        <w:spacing w:after="0" w:line="240" w:lineRule="auto"/>
      </w:pPr>
      <w:r>
        <w:separator/>
      </w:r>
    </w:p>
  </w:footnote>
  <w:footnote w:type="continuationSeparator" w:id="0">
    <w:p w14:paraId="76F28A3D" w14:textId="77777777" w:rsidR="00374B4D" w:rsidRDefault="00374B4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87C2E"/>
    <w:rsid w:val="00091A08"/>
    <w:rsid w:val="00092270"/>
    <w:rsid w:val="0009242F"/>
    <w:rsid w:val="00097977"/>
    <w:rsid w:val="000A0401"/>
    <w:rsid w:val="000A4EF6"/>
    <w:rsid w:val="000A7791"/>
    <w:rsid w:val="000B084D"/>
    <w:rsid w:val="000B1C9A"/>
    <w:rsid w:val="000B23D3"/>
    <w:rsid w:val="000B276E"/>
    <w:rsid w:val="000B5193"/>
    <w:rsid w:val="000B543B"/>
    <w:rsid w:val="000B7736"/>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D1A77"/>
    <w:rsid w:val="001D6475"/>
    <w:rsid w:val="001D773C"/>
    <w:rsid w:val="001E33FB"/>
    <w:rsid w:val="001E3DCC"/>
    <w:rsid w:val="001E629C"/>
    <w:rsid w:val="001F04AC"/>
    <w:rsid w:val="001F24E0"/>
    <w:rsid w:val="0020022D"/>
    <w:rsid w:val="002029AB"/>
    <w:rsid w:val="00203759"/>
    <w:rsid w:val="00203FB7"/>
    <w:rsid w:val="0020483A"/>
    <w:rsid w:val="0020611D"/>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7C24"/>
    <w:rsid w:val="002923C2"/>
    <w:rsid w:val="00293FEB"/>
    <w:rsid w:val="002A6DAF"/>
    <w:rsid w:val="002A7ECE"/>
    <w:rsid w:val="002B1093"/>
    <w:rsid w:val="002B13A2"/>
    <w:rsid w:val="002B1589"/>
    <w:rsid w:val="002B2BE1"/>
    <w:rsid w:val="002B6879"/>
    <w:rsid w:val="002B7834"/>
    <w:rsid w:val="002C1AC1"/>
    <w:rsid w:val="002C2FC7"/>
    <w:rsid w:val="002C598B"/>
    <w:rsid w:val="002E2AE5"/>
    <w:rsid w:val="002E68BB"/>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5555"/>
    <w:rsid w:val="0032608B"/>
    <w:rsid w:val="00327B36"/>
    <w:rsid w:val="0033421C"/>
    <w:rsid w:val="00335B89"/>
    <w:rsid w:val="00341B9C"/>
    <w:rsid w:val="00341FE8"/>
    <w:rsid w:val="00344956"/>
    <w:rsid w:val="003465EE"/>
    <w:rsid w:val="003508B9"/>
    <w:rsid w:val="0035166E"/>
    <w:rsid w:val="00351C7D"/>
    <w:rsid w:val="00355689"/>
    <w:rsid w:val="00355D58"/>
    <w:rsid w:val="0036254D"/>
    <w:rsid w:val="00374B4D"/>
    <w:rsid w:val="00376603"/>
    <w:rsid w:val="0037674A"/>
    <w:rsid w:val="00377796"/>
    <w:rsid w:val="003824A7"/>
    <w:rsid w:val="00395208"/>
    <w:rsid w:val="00396316"/>
    <w:rsid w:val="003A5ECC"/>
    <w:rsid w:val="003B2D17"/>
    <w:rsid w:val="003B6D87"/>
    <w:rsid w:val="003C2BDC"/>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562E"/>
    <w:rsid w:val="00436359"/>
    <w:rsid w:val="004434EE"/>
    <w:rsid w:val="00443DDF"/>
    <w:rsid w:val="00443ECE"/>
    <w:rsid w:val="00443F4B"/>
    <w:rsid w:val="0044618F"/>
    <w:rsid w:val="00446608"/>
    <w:rsid w:val="00451D2C"/>
    <w:rsid w:val="00456D29"/>
    <w:rsid w:val="00456F1E"/>
    <w:rsid w:val="004630DF"/>
    <w:rsid w:val="00471054"/>
    <w:rsid w:val="0047486A"/>
    <w:rsid w:val="00475B93"/>
    <w:rsid w:val="00482A79"/>
    <w:rsid w:val="00483444"/>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1A7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C4F5A"/>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50FB"/>
    <w:rsid w:val="00656D81"/>
    <w:rsid w:val="00666AD0"/>
    <w:rsid w:val="00677770"/>
    <w:rsid w:val="00684ABA"/>
    <w:rsid w:val="00684E93"/>
    <w:rsid w:val="00685771"/>
    <w:rsid w:val="00694836"/>
    <w:rsid w:val="006A1904"/>
    <w:rsid w:val="006A5F91"/>
    <w:rsid w:val="006B2630"/>
    <w:rsid w:val="006C0363"/>
    <w:rsid w:val="006C415C"/>
    <w:rsid w:val="006C5D13"/>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02CD"/>
    <w:rsid w:val="00762E2D"/>
    <w:rsid w:val="00771F52"/>
    <w:rsid w:val="00773BB6"/>
    <w:rsid w:val="00783610"/>
    <w:rsid w:val="00787A6D"/>
    <w:rsid w:val="00792647"/>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27730"/>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2313"/>
    <w:rsid w:val="008C6535"/>
    <w:rsid w:val="008D0CA9"/>
    <w:rsid w:val="008D1132"/>
    <w:rsid w:val="008D21F4"/>
    <w:rsid w:val="008D59A3"/>
    <w:rsid w:val="008E05ED"/>
    <w:rsid w:val="008E254A"/>
    <w:rsid w:val="009000E7"/>
    <w:rsid w:val="00900FF8"/>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5351"/>
    <w:rsid w:val="00992737"/>
    <w:rsid w:val="009929EF"/>
    <w:rsid w:val="009A12AE"/>
    <w:rsid w:val="009A1FA8"/>
    <w:rsid w:val="009A21E6"/>
    <w:rsid w:val="009A2A7F"/>
    <w:rsid w:val="009A478A"/>
    <w:rsid w:val="009C1DCD"/>
    <w:rsid w:val="009C208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0538"/>
    <w:rsid w:val="00A26AB7"/>
    <w:rsid w:val="00A27DAD"/>
    <w:rsid w:val="00A301E3"/>
    <w:rsid w:val="00A320D7"/>
    <w:rsid w:val="00A4065C"/>
    <w:rsid w:val="00A4109B"/>
    <w:rsid w:val="00A41C21"/>
    <w:rsid w:val="00A4214A"/>
    <w:rsid w:val="00A467DE"/>
    <w:rsid w:val="00A513CF"/>
    <w:rsid w:val="00A57ED1"/>
    <w:rsid w:val="00A62B5E"/>
    <w:rsid w:val="00A6401C"/>
    <w:rsid w:val="00A64C02"/>
    <w:rsid w:val="00A65F38"/>
    <w:rsid w:val="00A82284"/>
    <w:rsid w:val="00A85013"/>
    <w:rsid w:val="00A91DF2"/>
    <w:rsid w:val="00A92C14"/>
    <w:rsid w:val="00A92F62"/>
    <w:rsid w:val="00AB3F64"/>
    <w:rsid w:val="00AC043F"/>
    <w:rsid w:val="00AC0793"/>
    <w:rsid w:val="00AC0D0A"/>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648"/>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64CA"/>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E1414"/>
    <w:rsid w:val="00CE7C94"/>
    <w:rsid w:val="00CF0C95"/>
    <w:rsid w:val="00CF1D6A"/>
    <w:rsid w:val="00CF307E"/>
    <w:rsid w:val="00CF4968"/>
    <w:rsid w:val="00CF53A2"/>
    <w:rsid w:val="00CF6224"/>
    <w:rsid w:val="00CF7F81"/>
    <w:rsid w:val="00D02452"/>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CED"/>
    <w:rsid w:val="00D86480"/>
    <w:rsid w:val="00D90EFA"/>
    <w:rsid w:val="00D96A49"/>
    <w:rsid w:val="00DA0B22"/>
    <w:rsid w:val="00DA2A6F"/>
    <w:rsid w:val="00DA485E"/>
    <w:rsid w:val="00DC42DB"/>
    <w:rsid w:val="00DC4C02"/>
    <w:rsid w:val="00DC65BD"/>
    <w:rsid w:val="00DD4CA0"/>
    <w:rsid w:val="00DD5C64"/>
    <w:rsid w:val="00DE2626"/>
    <w:rsid w:val="00DE29C6"/>
    <w:rsid w:val="00DE2B66"/>
    <w:rsid w:val="00DE49BE"/>
    <w:rsid w:val="00DF1239"/>
    <w:rsid w:val="00DF25C0"/>
    <w:rsid w:val="00E0222C"/>
    <w:rsid w:val="00E04B66"/>
    <w:rsid w:val="00E07006"/>
    <w:rsid w:val="00E11726"/>
    <w:rsid w:val="00E12981"/>
    <w:rsid w:val="00E13268"/>
    <w:rsid w:val="00E14577"/>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D79B5"/>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181"/>
    <w:rsid w:val="00F6230A"/>
    <w:rsid w:val="00F675EC"/>
    <w:rsid w:val="00F7135D"/>
    <w:rsid w:val="00F73CD8"/>
    <w:rsid w:val="00F83E74"/>
    <w:rsid w:val="00F92795"/>
    <w:rsid w:val="00F95869"/>
    <w:rsid w:val="00FA019E"/>
    <w:rsid w:val="00FA1E94"/>
    <w:rsid w:val="00FA20EE"/>
    <w:rsid w:val="00FA3309"/>
    <w:rsid w:val="00FB179F"/>
    <w:rsid w:val="00FB3E3C"/>
    <w:rsid w:val="00FB4F9C"/>
    <w:rsid w:val="00FB76CE"/>
    <w:rsid w:val="00FC2072"/>
    <w:rsid w:val="00FD10CC"/>
    <w:rsid w:val="00FD23B7"/>
    <w:rsid w:val="00FF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11883</Words>
  <Characters>6774</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2026-03-20T07:07:00Z</cp:lastPrinted>
  <dcterms:created xsi:type="dcterms:W3CDTF">2026-03-20T12:57:00Z</dcterms:created>
  <dcterms:modified xsi:type="dcterms:W3CDTF">2026-03-26T13:01:00Z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