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4578" w14:textId="77777777" w:rsidR="001D1CA3" w:rsidRPr="001D1CA3" w:rsidRDefault="001D1CA3" w:rsidP="001D1CA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1D1CA3">
        <w:rPr>
          <w:rFonts w:ascii="Times New Roman" w:eastAsia="Times New Roman" w:hAnsi="Times New Roman" w:cs="Times New Roman"/>
          <w:noProof/>
          <w:kern w:val="0"/>
          <w:sz w:val="19"/>
          <w:szCs w:val="20"/>
          <w:lang w:val="ru-RU" w:eastAsia="ru-RU"/>
        </w:rPr>
        <w:drawing>
          <wp:inline distT="0" distB="0" distL="0" distR="0" wp14:anchorId="25A77DEB" wp14:editId="259663E2">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CA1F81E" w14:textId="77777777" w:rsidR="001D1CA3" w:rsidRPr="001D1CA3" w:rsidRDefault="001D1CA3" w:rsidP="001D1CA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5CB86379" w14:textId="77777777" w:rsidR="001D1CA3" w:rsidRPr="001D1CA3" w:rsidRDefault="001D1CA3" w:rsidP="001D1CA3">
      <w:pPr>
        <w:spacing w:after="0" w:line="240" w:lineRule="auto"/>
        <w:jc w:val="center"/>
        <w:rPr>
          <w:rFonts w:ascii="Times New Roman" w:eastAsia="Times New Roman" w:hAnsi="Times New Roman" w:cs="Times New Roman"/>
          <w:kern w:val="28"/>
          <w:sz w:val="32"/>
          <w:szCs w:val="32"/>
          <w:lang w:eastAsia="ru-RU"/>
          <w14:ligatures w14:val="none"/>
        </w:rPr>
      </w:pPr>
      <w:r w:rsidRPr="001D1CA3">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1D1CA3">
        <w:rPr>
          <w:rFonts w:ascii="Times New Roman" w:eastAsia="Times New Roman" w:hAnsi="Times New Roman" w:cs="Times New Roman"/>
          <w:bCs/>
          <w:kern w:val="28"/>
          <w:sz w:val="36"/>
          <w:szCs w:val="32"/>
          <w:lang w:eastAsia="ru-RU"/>
          <w14:ligatures w14:val="none"/>
        </w:rPr>
        <w:br/>
        <w:t>КОМІСІЯ ПРОКУРОРІВ</w:t>
      </w:r>
    </w:p>
    <w:p w14:paraId="28CD0B39" w14:textId="77777777" w:rsidR="001D1CA3" w:rsidRPr="001D1CA3" w:rsidRDefault="001D1CA3" w:rsidP="001D1CA3">
      <w:pPr>
        <w:spacing w:after="0" w:line="240" w:lineRule="auto"/>
        <w:rPr>
          <w:rFonts w:ascii="Times New Roman" w:eastAsia="Times New Roman" w:hAnsi="Times New Roman" w:cs="Times New Roman"/>
          <w:kern w:val="28"/>
          <w:sz w:val="28"/>
          <w:szCs w:val="28"/>
          <w:lang w:eastAsia="uk-UA"/>
          <w14:ligatures w14:val="none"/>
        </w:rPr>
      </w:pPr>
    </w:p>
    <w:p w14:paraId="5D34639F" w14:textId="77777777" w:rsidR="001D1CA3" w:rsidRPr="001D1CA3" w:rsidRDefault="001D1CA3" w:rsidP="001D1CA3">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1D1CA3">
        <w:rPr>
          <w:rFonts w:ascii="Times New Roman" w:eastAsia="Times New Roman" w:hAnsi="Times New Roman" w:cs="Times New Roman"/>
          <w:b/>
          <w:kern w:val="28"/>
          <w:sz w:val="28"/>
          <w:szCs w:val="28"/>
          <w:lang w:eastAsia="uk-UA"/>
          <w14:ligatures w14:val="none"/>
        </w:rPr>
        <w:t xml:space="preserve">Р І Ш Е Н </w:t>
      </w:r>
      <w:proofErr w:type="spellStart"/>
      <w:r w:rsidRPr="001D1CA3">
        <w:rPr>
          <w:rFonts w:ascii="Times New Roman" w:eastAsia="Times New Roman" w:hAnsi="Times New Roman" w:cs="Times New Roman"/>
          <w:b/>
          <w:kern w:val="28"/>
          <w:sz w:val="28"/>
          <w:szCs w:val="28"/>
          <w:lang w:eastAsia="uk-UA"/>
          <w14:ligatures w14:val="none"/>
        </w:rPr>
        <w:t>Н</w:t>
      </w:r>
      <w:proofErr w:type="spellEnd"/>
      <w:r w:rsidRPr="001D1CA3">
        <w:rPr>
          <w:rFonts w:ascii="Times New Roman" w:eastAsia="Times New Roman" w:hAnsi="Times New Roman" w:cs="Times New Roman"/>
          <w:b/>
          <w:kern w:val="28"/>
          <w:sz w:val="28"/>
          <w:szCs w:val="28"/>
          <w:lang w:eastAsia="uk-UA"/>
          <w14:ligatures w14:val="none"/>
        </w:rPr>
        <w:t xml:space="preserve"> Я</w:t>
      </w:r>
    </w:p>
    <w:p w14:paraId="3DDEA367" w14:textId="77777777" w:rsidR="001D1CA3" w:rsidRPr="001D1CA3" w:rsidRDefault="001D1CA3" w:rsidP="001D1CA3">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6"/>
        <w:gridCol w:w="3400"/>
      </w:tblGrid>
      <w:tr w:rsidR="001D1CA3" w:rsidRPr="001D1CA3" w14:paraId="1D853086" w14:textId="77777777">
        <w:trPr>
          <w:trHeight w:val="460"/>
        </w:trPr>
        <w:tc>
          <w:tcPr>
            <w:tcW w:w="1717" w:type="pct"/>
            <w:hideMark/>
          </w:tcPr>
          <w:p w14:paraId="212F7BB0" w14:textId="77777777" w:rsidR="001D1CA3" w:rsidRPr="001D1CA3" w:rsidRDefault="001D1CA3" w:rsidP="001D1CA3">
            <w:pPr>
              <w:spacing w:after="0" w:line="240" w:lineRule="auto"/>
              <w:ind w:left="-113"/>
              <w:jc w:val="both"/>
              <w:rPr>
                <w:rFonts w:ascii="Times New Roman" w:eastAsia="Times New Roman" w:hAnsi="Times New Roman" w:cs="Times New Roman"/>
                <w:b/>
                <w:sz w:val="28"/>
                <w:lang w:eastAsia="ru-RU"/>
              </w:rPr>
            </w:pPr>
            <w:r w:rsidRPr="001D1CA3">
              <w:rPr>
                <w:rFonts w:ascii="Times New Roman" w:eastAsia="Times New Roman" w:hAnsi="Times New Roman" w:cs="Times New Roman"/>
                <w:b/>
                <w:sz w:val="28"/>
                <w:lang w:val="en-US" w:eastAsia="ru-RU"/>
              </w:rPr>
              <w:t>24</w:t>
            </w:r>
            <w:r w:rsidRPr="001D1CA3">
              <w:rPr>
                <w:rFonts w:ascii="Times New Roman" w:eastAsia="Times New Roman" w:hAnsi="Times New Roman" w:cs="Times New Roman"/>
                <w:b/>
                <w:sz w:val="28"/>
                <w:lang w:eastAsia="ru-RU"/>
              </w:rPr>
              <w:t xml:space="preserve"> березня 2026 року</w:t>
            </w:r>
          </w:p>
        </w:tc>
        <w:tc>
          <w:tcPr>
            <w:tcW w:w="1493" w:type="pct"/>
            <w:hideMark/>
          </w:tcPr>
          <w:p w14:paraId="35A8DD8A" w14:textId="77777777" w:rsidR="001D1CA3" w:rsidRPr="001D1CA3" w:rsidRDefault="001D1CA3" w:rsidP="001D1CA3">
            <w:pPr>
              <w:spacing w:after="0" w:line="240" w:lineRule="auto"/>
              <w:jc w:val="center"/>
              <w:rPr>
                <w:rFonts w:ascii="Times New Roman" w:eastAsia="Times New Roman" w:hAnsi="Times New Roman" w:cs="Times New Roman"/>
                <w:b/>
                <w:sz w:val="28"/>
                <w:lang w:eastAsia="ru-RU"/>
              </w:rPr>
            </w:pPr>
            <w:r w:rsidRPr="001D1CA3">
              <w:rPr>
                <w:rFonts w:ascii="Times New Roman" w:eastAsia="Times New Roman" w:hAnsi="Times New Roman" w:cs="Times New Roman"/>
                <w:b/>
                <w:sz w:val="28"/>
                <w:lang w:eastAsia="ru-RU"/>
              </w:rPr>
              <w:t>Київ</w:t>
            </w:r>
          </w:p>
        </w:tc>
        <w:tc>
          <w:tcPr>
            <w:tcW w:w="1790" w:type="pct"/>
            <w:hideMark/>
          </w:tcPr>
          <w:p w14:paraId="2A47BF5E" w14:textId="77777777" w:rsidR="001D1CA3" w:rsidRPr="001D1CA3" w:rsidRDefault="001D1CA3" w:rsidP="001D1CA3">
            <w:pPr>
              <w:spacing w:after="0" w:line="240" w:lineRule="auto"/>
              <w:ind w:firstLine="567"/>
              <w:jc w:val="right"/>
              <w:rPr>
                <w:rFonts w:ascii="Times New Roman" w:eastAsia="Times New Roman" w:hAnsi="Times New Roman" w:cs="Times New Roman"/>
                <w:b/>
                <w:sz w:val="28"/>
                <w:lang w:eastAsia="ru-RU"/>
              </w:rPr>
            </w:pPr>
            <w:r w:rsidRPr="001D1CA3">
              <w:rPr>
                <w:rFonts w:ascii="Times New Roman" w:eastAsia="Times New Roman" w:hAnsi="Times New Roman" w:cs="Times New Roman"/>
                <w:b/>
                <w:sz w:val="28"/>
                <w:lang w:eastAsia="ru-RU"/>
              </w:rPr>
              <w:t xml:space="preserve">            № 216дс-26 </w:t>
            </w:r>
          </w:p>
        </w:tc>
      </w:tr>
    </w:tbl>
    <w:p w14:paraId="19A34113" w14:textId="77777777" w:rsidR="001D1CA3" w:rsidRPr="001D1CA3" w:rsidRDefault="001D1CA3" w:rsidP="001D1CA3">
      <w:pPr>
        <w:widowControl w:val="0"/>
        <w:spacing w:after="0" w:line="240" w:lineRule="auto"/>
        <w:rPr>
          <w:rFonts w:ascii="Times New Roman" w:eastAsia="Calibri" w:hAnsi="Times New Roman" w:cs="Times New Roman"/>
          <w:b/>
          <w:noProof/>
          <w:kern w:val="0"/>
          <w:sz w:val="28"/>
          <w:szCs w:val="28"/>
          <w:lang w:eastAsia="uk-UA"/>
          <w14:ligatures w14:val="none"/>
        </w:rPr>
      </w:pPr>
    </w:p>
    <w:p w14:paraId="270438D1" w14:textId="77777777" w:rsidR="001D1CA3" w:rsidRPr="001D1CA3" w:rsidRDefault="001D1CA3" w:rsidP="001D1CA3">
      <w:pPr>
        <w:widowControl w:val="0"/>
        <w:spacing w:after="0" w:line="240" w:lineRule="auto"/>
        <w:rPr>
          <w:rFonts w:ascii="Times New Roman" w:eastAsia="Calibri" w:hAnsi="Times New Roman" w:cs="Times New Roman"/>
          <w:b/>
          <w:noProof/>
          <w:kern w:val="0"/>
          <w:sz w:val="28"/>
          <w:szCs w:val="28"/>
          <w:lang w:eastAsia="uk-UA"/>
          <w14:ligatures w14:val="none"/>
        </w:rPr>
      </w:pPr>
      <w:r w:rsidRPr="001D1CA3">
        <w:rPr>
          <w:rFonts w:ascii="Times New Roman" w:eastAsia="Calibri" w:hAnsi="Times New Roman" w:cs="Times New Roman"/>
          <w:b/>
          <w:noProof/>
          <w:kern w:val="0"/>
          <w:sz w:val="28"/>
          <w:szCs w:val="28"/>
          <w:lang w:eastAsia="uk-UA"/>
          <w14:ligatures w14:val="none"/>
        </w:rPr>
        <w:t xml:space="preserve">Про відмову у відкритті </w:t>
      </w:r>
    </w:p>
    <w:p w14:paraId="68046544" w14:textId="77777777" w:rsidR="001D1CA3" w:rsidRPr="001D1CA3" w:rsidRDefault="001D1CA3" w:rsidP="001D1CA3">
      <w:pPr>
        <w:widowControl w:val="0"/>
        <w:spacing w:after="0" w:line="240" w:lineRule="auto"/>
        <w:rPr>
          <w:rFonts w:ascii="Times New Roman" w:eastAsia="Calibri" w:hAnsi="Times New Roman" w:cs="Times New Roman"/>
          <w:b/>
          <w:noProof/>
          <w:kern w:val="0"/>
          <w:sz w:val="28"/>
          <w:szCs w:val="28"/>
          <w:lang w:eastAsia="uk-UA"/>
          <w14:ligatures w14:val="none"/>
        </w:rPr>
      </w:pPr>
      <w:r w:rsidRPr="001D1CA3">
        <w:rPr>
          <w:rFonts w:ascii="Times New Roman" w:eastAsia="Calibri" w:hAnsi="Times New Roman" w:cs="Times New Roman"/>
          <w:b/>
          <w:noProof/>
          <w:kern w:val="0"/>
          <w:sz w:val="28"/>
          <w:szCs w:val="28"/>
          <w:lang w:eastAsia="uk-UA"/>
          <w14:ligatures w14:val="none"/>
        </w:rPr>
        <w:t>дисциплінарного провадження</w:t>
      </w:r>
    </w:p>
    <w:p w14:paraId="0BADDC84" w14:textId="77777777" w:rsidR="001D1CA3" w:rsidRPr="001D1CA3" w:rsidRDefault="001D1CA3" w:rsidP="001D1CA3">
      <w:pPr>
        <w:widowControl w:val="0"/>
        <w:spacing w:after="0" w:line="240" w:lineRule="auto"/>
        <w:jc w:val="both"/>
        <w:rPr>
          <w:rFonts w:ascii="Times New Roman" w:eastAsia="Calibri" w:hAnsi="Times New Roman" w:cs="Times New Roman"/>
          <w:b/>
          <w:noProof/>
          <w:kern w:val="0"/>
          <w:sz w:val="28"/>
          <w:szCs w:val="28"/>
          <w:lang w:eastAsia="uk-UA"/>
          <w14:ligatures w14:val="none"/>
        </w:rPr>
      </w:pPr>
    </w:p>
    <w:p w14:paraId="27F15C44" w14:textId="4373FEBB" w:rsidR="001D1CA3" w:rsidRPr="001D1CA3" w:rsidRDefault="001D1CA3" w:rsidP="001D1CA3">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1D1CA3">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1D1CA3">
        <w:rPr>
          <w:rFonts w:ascii="Times New Roman" w:eastAsia="Calibri" w:hAnsi="Times New Roman" w:cs="Times New Roman"/>
          <w:kern w:val="0"/>
          <w:sz w:val="28"/>
          <w:szCs w:val="28"/>
          <w14:ligatures w14:val="none"/>
        </w:rPr>
        <w:t>Радзівон</w:t>
      </w:r>
      <w:proofErr w:type="spellEnd"/>
      <w:r w:rsidRPr="001D1CA3">
        <w:rPr>
          <w:rFonts w:ascii="Times New Roman" w:eastAsia="Calibri" w:hAnsi="Times New Roman" w:cs="Times New Roman"/>
          <w:kern w:val="0"/>
          <w:sz w:val="28"/>
          <w:szCs w:val="28"/>
          <w14:ligatures w14:val="none"/>
        </w:rPr>
        <w:t xml:space="preserve"> М.О., розглянувши дисциплінарну скаргу </w:t>
      </w:r>
      <w:r>
        <w:rPr>
          <w:rFonts w:ascii="Times New Roman" w:eastAsia="Calibri" w:hAnsi="Times New Roman" w:cs="Times New Roman"/>
          <w:kern w:val="0"/>
          <w:sz w:val="28"/>
          <w:szCs w:val="28"/>
          <w14:ligatures w14:val="none"/>
        </w:rPr>
        <w:t>Особа 1</w:t>
      </w:r>
      <w:r w:rsidRPr="001D1CA3">
        <w:rPr>
          <w:rFonts w:ascii="Times New Roman" w:eastAsia="Calibri" w:hAnsi="Times New Roman" w:cs="Times New Roman"/>
          <w:kern w:val="0"/>
          <w:sz w:val="28"/>
          <w:szCs w:val="28"/>
          <w14:ligatures w14:val="none"/>
        </w:rPr>
        <w:t xml:space="preserve"> (далі – скаржниця) стосовно прокурора Західної окружної прокуратури міста Дніпра Мазур Каріни Олегівни (далі – прокурор, Мазур К.О.),</w:t>
      </w:r>
    </w:p>
    <w:p w14:paraId="716D6BE6" w14:textId="77777777" w:rsidR="001D1CA3" w:rsidRPr="001D1CA3" w:rsidRDefault="001D1CA3" w:rsidP="001D1CA3">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1D1CA3">
        <w:rPr>
          <w:rFonts w:ascii="Times New Roman" w:eastAsia="Calibri" w:hAnsi="Times New Roman" w:cs="Times New Roman"/>
          <w:b/>
          <w:noProof/>
          <w:kern w:val="0"/>
          <w:sz w:val="28"/>
          <w:szCs w:val="28"/>
          <w:lang w:eastAsia="uk-UA"/>
          <w14:ligatures w14:val="none"/>
        </w:rPr>
        <w:t>УСТАНОВИВ:</w:t>
      </w:r>
    </w:p>
    <w:p w14:paraId="0DD15689" w14:textId="77777777" w:rsidR="001D1CA3" w:rsidRPr="001D1CA3" w:rsidRDefault="001D1CA3" w:rsidP="001D1CA3">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1D1CA3">
        <w:rPr>
          <w:rFonts w:ascii="Times New Roman" w:eastAsia="Calibri" w:hAnsi="Times New Roman" w:cs="Times New Roman"/>
          <w:b/>
          <w:kern w:val="0"/>
          <w:sz w:val="28"/>
          <w:szCs w:val="28"/>
          <w14:ligatures w14:val="none"/>
        </w:rPr>
        <w:t xml:space="preserve"> Інформація про зміст скарги</w:t>
      </w:r>
    </w:p>
    <w:p w14:paraId="32F1828A" w14:textId="77777777" w:rsidR="001D1CA3" w:rsidRPr="001D1CA3" w:rsidRDefault="001D1CA3" w:rsidP="001D1CA3">
      <w:pPr>
        <w:widowControl w:val="0"/>
        <w:tabs>
          <w:tab w:val="left" w:pos="993"/>
        </w:tabs>
        <w:spacing w:after="0" w:line="240" w:lineRule="auto"/>
        <w:ind w:left="709"/>
        <w:contextualSpacing/>
        <w:rPr>
          <w:rFonts w:ascii="Times New Roman" w:eastAsia="Calibri" w:hAnsi="Times New Roman" w:cs="Times New Roman"/>
          <w:b/>
          <w:noProof/>
          <w:kern w:val="0"/>
          <w:sz w:val="28"/>
          <w:szCs w:val="28"/>
          <w:lang w:eastAsia="uk-UA"/>
          <w14:ligatures w14:val="none"/>
        </w:rPr>
      </w:pPr>
    </w:p>
    <w:p w14:paraId="7629A785" w14:textId="4228A76C" w:rsidR="001D1CA3" w:rsidRPr="001D1CA3" w:rsidRDefault="001D1CA3" w:rsidP="001D1CA3">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1D1CA3">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1D1CA3">
        <w:rPr>
          <w:rFonts w:ascii="Times New Roman" w:eastAsia="Calibri" w:hAnsi="Times New Roman" w:cs="Times New Roman"/>
          <w:kern w:val="0"/>
          <w:sz w:val="28"/>
          <w:szCs w:val="28"/>
          <w14:ligatures w14:val="none"/>
        </w:rPr>
        <w:t xml:space="preserve"> про вчинення дисциплінарного проступку прокурором Мазур К.О.</w:t>
      </w:r>
    </w:p>
    <w:p w14:paraId="370C8CC8" w14:textId="77777777" w:rsidR="001D1CA3" w:rsidRPr="001D1CA3" w:rsidRDefault="001D1CA3" w:rsidP="001D1CA3">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1D1CA3">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D1CA3">
        <w:rPr>
          <w:rFonts w:ascii="Times New Roman" w:eastAsia="Calibri" w:hAnsi="Times New Roman" w:cs="Times New Roman"/>
          <w:kern w:val="0"/>
          <w:sz w:val="28"/>
          <w:szCs w:val="28"/>
          <w14:ligatures w14:val="none"/>
        </w:rPr>
        <w:t>розподілено</w:t>
      </w:r>
      <w:proofErr w:type="spellEnd"/>
      <w:r w:rsidRPr="001D1CA3">
        <w:rPr>
          <w:rFonts w:ascii="Times New Roman" w:eastAsia="Calibri" w:hAnsi="Times New Roman" w:cs="Times New Roman"/>
          <w:kern w:val="0"/>
          <w:sz w:val="28"/>
          <w:szCs w:val="28"/>
          <w14:ligatures w14:val="none"/>
        </w:rPr>
        <w:t xml:space="preserve"> мені (протокол розподілу від 13 березня 2026 року). </w:t>
      </w:r>
    </w:p>
    <w:p w14:paraId="7781AB0C"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 xml:space="preserve">Вирішуючи питання щодо відкриття дисциплінарного провадження встановлено таке. </w:t>
      </w:r>
    </w:p>
    <w:p w14:paraId="448BD5C2"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Зі змісту дисциплінарної скарги вбачається, що, на думку скаржниці, прокурор Мазур К.О. неналежно виконувала свої обов’язки під час здійснення публічного обвинувачення у кримінальному провадженні за частиною першою статті 125 Кримінального кодексу України (далі – КК України).</w:t>
      </w:r>
    </w:p>
    <w:p w14:paraId="43944A9E"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Вона зазначила, що повідомлення їй про підозру було здійснено без належних доказів, оскільки у кримінальному провадженні були відсутні об’єктивні дані про тілесні ушкодження, не було достатніх підтверджень механізму їх спричинення, а частина доказів ґрунтувалася на суперечливих відомостях.</w:t>
      </w:r>
    </w:p>
    <w:p w14:paraId="2AFF72C1"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Згодом, за твердженням скаржниці, прокурор Мазур К.О. під час здійснення публічного обвинувачення не враховувала доводів сторони захисту, а також доказів і пояснень, які мали істотне значення для правильного вирішення справи. Скаржниця вважала, що прокурор не надала належної оцінки обставинам, які могли свідчити про відсутність у її діях складу кримінального правопорушення.</w:t>
      </w:r>
    </w:p>
    <w:p w14:paraId="24E22A69"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 xml:space="preserve">Крім того, скаржниця зазначила, що прокурор не вжила належних заходів щодо іншої особи, хоча для цього були достатні підстави. Вказані обставини, на </w:t>
      </w:r>
      <w:r w:rsidRPr="001D1CA3">
        <w:rPr>
          <w:rFonts w:ascii="Times New Roman" w:eastAsia="Aptos" w:hAnsi="Times New Roman" w:cs="Calibri"/>
          <w:bCs/>
          <w:color w:val="000000"/>
          <w:sz w:val="28"/>
        </w:rPr>
        <w:lastRenderedPageBreak/>
        <w:t>думку скаржниці, свідчать про бездіяльність і можливу упередженість прокурора.</w:t>
      </w:r>
    </w:p>
    <w:p w14:paraId="1381BEE3"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У скарзі також зазначено, що прокурор і надалі підтримувала обвинувачення попри суперечливість зібраних доказів, можливу зацікавленість окремих свідків обвинувачення та наявність показань, які спростовували версію обвинувачення. У зв’язку з цим скаржниця вважала, що прокурор однобічно оцінювала докази та не забезпечила належної об’єктивності під час підтримання публічного обвинувачення.</w:t>
      </w:r>
    </w:p>
    <w:p w14:paraId="7384BB8A"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 xml:space="preserve">Окрім того, скаржниця вказала на порушення прокурором правил професійної етики, що, на її думку, проявлялося у зневажливій манері спілкування під час судових засідань, </w:t>
      </w:r>
      <w:proofErr w:type="spellStart"/>
      <w:r w:rsidRPr="001D1CA3">
        <w:rPr>
          <w:rFonts w:ascii="Times New Roman" w:eastAsia="Aptos" w:hAnsi="Times New Roman" w:cs="Calibri"/>
          <w:bCs/>
          <w:color w:val="000000"/>
          <w:sz w:val="28"/>
        </w:rPr>
        <w:t>емоційно</w:t>
      </w:r>
      <w:proofErr w:type="spellEnd"/>
      <w:r w:rsidRPr="001D1CA3">
        <w:rPr>
          <w:rFonts w:ascii="Times New Roman" w:eastAsia="Aptos" w:hAnsi="Times New Roman" w:cs="Calibri"/>
          <w:bCs/>
          <w:color w:val="000000"/>
          <w:sz w:val="28"/>
        </w:rPr>
        <w:t xml:space="preserve"> агресивній поведінці, недотриманні вимог до зовнішнього вигляду під час участі в судових засіданнях, а також у висловлюваннях і діях, які виходили за межі належної процесуальної поведінки. Скаржниця зазначила, що суд неодноразово робив прокурору зауваження щодо такої поведінки, що, на її думку, підтверджувало її неприпустимий характер.</w:t>
      </w:r>
    </w:p>
    <w:p w14:paraId="461B9C5C"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У сукупності такі дії, на переконання скаржниці, підривали авторитет органів прокуратури та свідчили про наявність ознак дисциплінарного проступку.</w:t>
      </w:r>
    </w:p>
    <w:p w14:paraId="2C4A5FBF"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 xml:space="preserve">З огляду на викладене, скаржниця вважала, що в діях прокурора </w:t>
      </w:r>
      <w:r w:rsidRPr="001D1CA3">
        <w:rPr>
          <w:rFonts w:ascii="Times New Roman" w:eastAsia="Aptos" w:hAnsi="Times New Roman" w:cs="Calibri"/>
          <w:bCs/>
          <w:color w:val="000000"/>
          <w:sz w:val="28"/>
        </w:rPr>
        <w:br/>
        <w:t>Мазур К.О. наявні ознаки дисциплінарного проступку та просила притягнути її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її об’єктивності, неупередженості та незалежності, у чесності та непідкупності органів прокуратури; систематичне порушення правил прокурорської етики.</w:t>
      </w:r>
    </w:p>
    <w:p w14:paraId="3C47F28F" w14:textId="77777777" w:rsidR="001D1CA3" w:rsidRPr="001D1CA3" w:rsidRDefault="001D1CA3" w:rsidP="001D1CA3">
      <w:pPr>
        <w:spacing w:after="0" w:line="240" w:lineRule="auto"/>
        <w:rPr>
          <w:rFonts w:ascii="Aptos" w:eastAsia="Aptos" w:hAnsi="Aptos" w:cs="Times New Roman"/>
        </w:rPr>
      </w:pPr>
    </w:p>
    <w:p w14:paraId="2F313F6D" w14:textId="77777777" w:rsidR="001D1CA3" w:rsidRPr="001D1CA3" w:rsidRDefault="001D1CA3" w:rsidP="001D1CA3">
      <w:pPr>
        <w:widowControl w:val="0"/>
        <w:numPr>
          <w:ilvl w:val="0"/>
          <w:numId w:val="1"/>
        </w:numPr>
        <w:tabs>
          <w:tab w:val="left" w:pos="851"/>
          <w:tab w:val="left" w:pos="993"/>
        </w:tabs>
        <w:spacing w:after="0" w:line="240" w:lineRule="auto"/>
        <w:ind w:hanging="218"/>
        <w:contextualSpacing/>
        <w:jc w:val="both"/>
        <w:rPr>
          <w:rFonts w:ascii="Times New Roman" w:eastAsia="Aptos" w:hAnsi="Times New Roman" w:cs="Times New Roman"/>
          <w:b/>
          <w:sz w:val="28"/>
          <w:szCs w:val="28"/>
        </w:rPr>
      </w:pPr>
      <w:r w:rsidRPr="001D1CA3">
        <w:rPr>
          <w:rFonts w:ascii="Times New Roman" w:eastAsia="Aptos" w:hAnsi="Times New Roman" w:cs="Times New Roman"/>
          <w:b/>
          <w:sz w:val="28"/>
          <w:szCs w:val="28"/>
        </w:rPr>
        <w:t>Щодо встановлених фактичних відомостей</w:t>
      </w:r>
    </w:p>
    <w:p w14:paraId="0F5B0C85" w14:textId="77777777" w:rsidR="001D1CA3" w:rsidRPr="001D1CA3" w:rsidRDefault="001D1CA3" w:rsidP="001D1CA3">
      <w:pPr>
        <w:widowControl w:val="0"/>
        <w:tabs>
          <w:tab w:val="left" w:pos="851"/>
          <w:tab w:val="left" w:pos="993"/>
        </w:tabs>
        <w:spacing w:after="0" w:line="240" w:lineRule="auto"/>
        <w:ind w:firstLine="709"/>
        <w:jc w:val="both"/>
        <w:rPr>
          <w:rFonts w:ascii="Times New Roman" w:eastAsia="Aptos" w:hAnsi="Times New Roman" w:cs="Times New Roman"/>
          <w:sz w:val="28"/>
          <w:szCs w:val="28"/>
          <w:lang w:val="en-US"/>
        </w:rPr>
      </w:pPr>
    </w:p>
    <w:p w14:paraId="32FC0E94" w14:textId="77777777" w:rsidR="001D1CA3" w:rsidRPr="001D1CA3" w:rsidRDefault="001D1CA3" w:rsidP="001D1CA3">
      <w:pPr>
        <w:widowControl w:val="0"/>
        <w:tabs>
          <w:tab w:val="left" w:pos="709"/>
          <w:tab w:val="left" w:pos="851"/>
        </w:tabs>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До дисциплінарної скарги не додано будь-яких документів.</w:t>
      </w:r>
    </w:p>
    <w:p w14:paraId="0AC80974" w14:textId="77777777" w:rsidR="001D1CA3" w:rsidRPr="001D1CA3" w:rsidRDefault="001D1CA3" w:rsidP="001D1CA3">
      <w:pPr>
        <w:widowControl w:val="0"/>
        <w:tabs>
          <w:tab w:val="left" w:pos="709"/>
          <w:tab w:val="left" w:pos="851"/>
        </w:tabs>
        <w:spacing w:after="0" w:line="240" w:lineRule="auto"/>
        <w:ind w:firstLine="709"/>
        <w:jc w:val="both"/>
        <w:rPr>
          <w:rFonts w:ascii="Times New Roman" w:eastAsia="Aptos" w:hAnsi="Times New Roman" w:cs="Times New Roman"/>
          <w:sz w:val="28"/>
          <w:szCs w:val="28"/>
        </w:rPr>
      </w:pPr>
    </w:p>
    <w:p w14:paraId="371F57C5" w14:textId="77777777" w:rsidR="001D1CA3" w:rsidRPr="001D1CA3" w:rsidRDefault="001D1CA3" w:rsidP="001D1CA3">
      <w:pPr>
        <w:widowControl w:val="0"/>
        <w:numPr>
          <w:ilvl w:val="0"/>
          <w:numId w:val="1"/>
        </w:numPr>
        <w:pBdr>
          <w:bottom w:val="single" w:sz="12" w:space="12" w:color="FFFFFF"/>
        </w:pBdr>
        <w:spacing w:after="0" w:line="240" w:lineRule="auto"/>
        <w:ind w:hanging="218"/>
        <w:contextualSpacing/>
        <w:jc w:val="both"/>
        <w:rPr>
          <w:rFonts w:ascii="Times New Roman" w:eastAsia="Aptos" w:hAnsi="Times New Roman" w:cs="Times New Roman"/>
          <w:b/>
          <w:color w:val="000000"/>
          <w:sz w:val="28"/>
          <w:szCs w:val="28"/>
        </w:rPr>
      </w:pPr>
      <w:r w:rsidRPr="001D1CA3">
        <w:rPr>
          <w:rFonts w:ascii="Times New Roman" w:eastAsia="Aptos" w:hAnsi="Times New Roman" w:cs="Times New Roman"/>
          <w:b/>
          <w:color w:val="000000"/>
          <w:sz w:val="28"/>
          <w:szCs w:val="28"/>
        </w:rPr>
        <w:t>Щодо джерел права, які підлягають застосуванню</w:t>
      </w:r>
    </w:p>
    <w:p w14:paraId="4876F5FC" w14:textId="77777777" w:rsidR="001D1CA3" w:rsidRPr="001D1CA3" w:rsidRDefault="001D1CA3" w:rsidP="001D1CA3">
      <w:pPr>
        <w:spacing w:after="0" w:line="240" w:lineRule="auto"/>
        <w:ind w:firstLine="709"/>
        <w:jc w:val="both"/>
        <w:rPr>
          <w:rFonts w:ascii="Times New Roman" w:eastAsia="Aptos" w:hAnsi="Times New Roman" w:cs="Calibri"/>
          <w:bCs/>
          <w:color w:val="000000"/>
          <w:sz w:val="28"/>
        </w:rPr>
      </w:pPr>
      <w:r w:rsidRPr="001D1CA3">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6C7A116"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37B88FC"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1D1CA3">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42E3AB"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 xml:space="preserve">За загальним правилом, наведеним у частині першій статті 36 </w:t>
      </w:r>
      <w:r w:rsidRPr="001D1CA3">
        <w:rPr>
          <w:rFonts w:ascii="Times New Roman" w:eastAsia="Aptos" w:hAnsi="Times New Roman" w:cs="Times New Roman"/>
          <w:color w:val="000000"/>
          <w:sz w:val="28"/>
          <w:szCs w:val="28"/>
        </w:rPr>
        <w:br/>
      </w:r>
      <w:r w:rsidRPr="001D1CA3">
        <w:rPr>
          <w:rFonts w:ascii="Times New Roman" w:eastAsia="Aptos" w:hAnsi="Times New Roman" w:cs="Times New Roman"/>
          <w:color w:val="000000"/>
          <w:sz w:val="28"/>
          <w:szCs w:val="28"/>
        </w:rPr>
        <w:lastRenderedPageBreak/>
        <w:t xml:space="preserve">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224F2D5"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E84BBCE"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525B34B"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25BF57A"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lang w:eastAsia="uk-UA"/>
        </w:rPr>
      </w:pPr>
      <w:r w:rsidRPr="001D1CA3">
        <w:rPr>
          <w:rFonts w:ascii="Times New Roman" w:eastAsia="Aptos" w:hAnsi="Times New Roman" w:cs="Times New Roman"/>
          <w:sz w:val="28"/>
          <w:szCs w:val="28"/>
          <w:lang w:eastAsia="uk-UA"/>
        </w:rPr>
        <w:t xml:space="preserve">Крім того, 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1D1CA3">
        <w:rPr>
          <w:rFonts w:ascii="Times New Roman" w:eastAsia="Aptos" w:hAnsi="Times New Roman" w:cs="Times New Roman"/>
          <w:sz w:val="28"/>
          <w:szCs w:val="28"/>
          <w:lang w:eastAsia="uk-UA"/>
        </w:rPr>
        <w:t>професійно</w:t>
      </w:r>
      <w:proofErr w:type="spellEnd"/>
      <w:r w:rsidRPr="001D1CA3">
        <w:rPr>
          <w:rFonts w:ascii="Times New Roman" w:eastAsia="Aptos" w:hAnsi="Times New Roman" w:cs="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6CE509C2"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lang w:eastAsia="uk-UA"/>
        </w:rPr>
      </w:pPr>
      <w:r w:rsidRPr="001D1CA3">
        <w:rPr>
          <w:rFonts w:ascii="Times New Roman" w:eastAsia="Aptos" w:hAnsi="Times New Roman" w:cs="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29B43969"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lang w:eastAsia="uk-UA"/>
        </w:rPr>
      </w:pPr>
      <w:r w:rsidRPr="001D1CA3">
        <w:rPr>
          <w:rFonts w:ascii="Times New Roman" w:eastAsia="Aptos" w:hAnsi="Times New Roman" w:cs="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020B3436"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lang w:eastAsia="uk-UA"/>
        </w:rPr>
      </w:pPr>
      <w:r w:rsidRPr="001D1CA3">
        <w:rPr>
          <w:rFonts w:ascii="Times New Roman" w:eastAsia="Aptos" w:hAnsi="Times New Roman" w:cs="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02DE9E8A"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lang w:eastAsia="uk-UA"/>
        </w:rPr>
      </w:pPr>
      <w:r w:rsidRPr="001D1CA3">
        <w:rPr>
          <w:rFonts w:ascii="Times New Roman" w:eastAsia="Aptos" w:hAnsi="Times New Roman" w:cs="Times New Roman"/>
          <w:sz w:val="28"/>
          <w:szCs w:val="28"/>
          <w:lang w:eastAsia="uk-UA"/>
        </w:rPr>
        <w:t xml:space="preserve">Статтею 11 Кодексу професійної етики та поведінки прокурорів, </w:t>
      </w:r>
      <w:r w:rsidRPr="001D1CA3">
        <w:rPr>
          <w:rFonts w:ascii="Times New Roman" w:eastAsia="Times New Roman" w:hAnsi="Times New Roman" w:cs="Times New Roman"/>
          <w:color w:val="000000"/>
          <w:kern w:val="0"/>
          <w:sz w:val="28"/>
          <w:szCs w:val="22"/>
          <w14:ligatures w14:val="none"/>
        </w:rPr>
        <w:t>затвердженого всеукраїнською конференцією прокурорів 27 квітня 2017 року (далі – Кодекс),</w:t>
      </w:r>
      <w:r w:rsidRPr="001D1CA3">
        <w:rPr>
          <w:rFonts w:ascii="Times New Roman" w:eastAsia="Aptos" w:hAnsi="Times New Roman" w:cs="Times New Roman"/>
          <w:sz w:val="28"/>
          <w:szCs w:val="28"/>
          <w:lang w:eastAsia="uk-UA"/>
        </w:rPr>
        <w:t xml:space="preserve"> передбачено, що прокурор повинен постійно дбати про свою компетентність, професійну честь і гідність. </w:t>
      </w:r>
    </w:p>
    <w:p w14:paraId="3174B9FA"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lang w:eastAsia="uk-UA"/>
        </w:rPr>
      </w:pPr>
      <w:r w:rsidRPr="001D1CA3">
        <w:rPr>
          <w:rFonts w:ascii="Times New Roman" w:eastAsia="Aptos" w:hAnsi="Times New Roman" w:cs="Times New Roman"/>
          <w:sz w:val="28"/>
          <w:szCs w:val="28"/>
          <w:lang w:eastAsia="uk-UA"/>
        </w:rPr>
        <w:t xml:space="preserve">За правилами статті 16 </w:t>
      </w:r>
      <w:bookmarkStart w:id="0" w:name="_Hlk149397036"/>
      <w:r w:rsidRPr="001D1CA3">
        <w:rPr>
          <w:rFonts w:ascii="Times New Roman" w:eastAsia="Aptos" w:hAnsi="Times New Roman" w:cs="Times New Roman"/>
          <w:sz w:val="28"/>
          <w:szCs w:val="28"/>
          <w:lang w:eastAsia="uk-UA"/>
        </w:rPr>
        <w:t xml:space="preserve">Кодексу, </w:t>
      </w:r>
      <w:bookmarkEnd w:id="0"/>
      <w:r w:rsidRPr="001D1CA3">
        <w:rPr>
          <w:rFonts w:ascii="Times New Roman" w:eastAsia="Aptos" w:hAnsi="Times New Roman" w:cs="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660F6BE1" w14:textId="77777777" w:rsidR="001D1CA3" w:rsidRPr="001D1CA3" w:rsidRDefault="001D1CA3" w:rsidP="001D1CA3">
      <w:pPr>
        <w:spacing w:after="0" w:line="240" w:lineRule="auto"/>
        <w:ind w:firstLine="709"/>
        <w:jc w:val="both"/>
        <w:rPr>
          <w:rFonts w:ascii="Times New Roman" w:eastAsia="Aptos" w:hAnsi="Times New Roman" w:cs="Times New Roman"/>
          <w:color w:val="000000"/>
          <w:sz w:val="28"/>
          <w:szCs w:val="28"/>
          <w:shd w:val="clear" w:color="auto" w:fill="FFFFFF"/>
        </w:rPr>
      </w:pPr>
      <w:r w:rsidRPr="001D1CA3">
        <w:rPr>
          <w:rFonts w:ascii="Times New Roman" w:eastAsia="Aptos" w:hAnsi="Times New Roman" w:cs="Times New Roman"/>
          <w:sz w:val="28"/>
          <w:szCs w:val="28"/>
          <w:lang w:eastAsia="uk-UA"/>
        </w:rPr>
        <w:lastRenderedPageBreak/>
        <w:t>Водночас</w:t>
      </w:r>
      <w:bookmarkStart w:id="1" w:name="_Hlk149416942"/>
      <w:r w:rsidRPr="001D1CA3">
        <w:rPr>
          <w:rFonts w:ascii="Times New Roman" w:eastAsia="Aptos" w:hAnsi="Times New Roman" w:cs="Times New Roman"/>
          <w:sz w:val="28"/>
          <w:szCs w:val="28"/>
          <w:lang w:eastAsia="uk-UA"/>
        </w:rPr>
        <w:t xml:space="preserve"> стаття 21 Кодексу </w:t>
      </w:r>
      <w:bookmarkEnd w:id="1"/>
      <w:r w:rsidRPr="001D1CA3">
        <w:rPr>
          <w:rFonts w:ascii="Times New Roman" w:eastAsia="Aptos" w:hAnsi="Times New Roman" w:cs="Times New Roman"/>
          <w:sz w:val="28"/>
          <w:szCs w:val="28"/>
          <w:lang w:eastAsia="uk-UA"/>
        </w:rPr>
        <w:t xml:space="preserve">вимагає від прокурора діяти </w:t>
      </w:r>
      <w:r w:rsidRPr="001D1CA3">
        <w:rPr>
          <w:rFonts w:ascii="Times New Roman" w:eastAsia="Aptos" w:hAnsi="Times New Roman" w:cs="Times New Roman"/>
          <w:color w:val="000000"/>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78AA748C"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lang w:eastAsia="uk-UA"/>
        </w:rPr>
        <w:t>З</w:t>
      </w:r>
      <w:r w:rsidRPr="001D1CA3">
        <w:rPr>
          <w:rFonts w:ascii="Times New Roman" w:eastAsia="Aptos" w:hAnsi="Times New Roman" w:cs="Times New Roman"/>
          <w:sz w:val="28"/>
          <w:szCs w:val="28"/>
        </w:rPr>
        <w:t xml:space="preserve">гідно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3E460895"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1FC4215C"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4240891C" w14:textId="77777777" w:rsidR="001D1CA3" w:rsidRPr="001D1CA3" w:rsidRDefault="001D1CA3" w:rsidP="001D1CA3">
      <w:pPr>
        <w:spacing w:after="0" w:line="240" w:lineRule="auto"/>
        <w:ind w:firstLine="709"/>
        <w:jc w:val="both"/>
        <w:rPr>
          <w:rFonts w:ascii="Times New Roman" w:eastAsia="Aptos" w:hAnsi="Times New Roman" w:cs="Times New Roman"/>
          <w:color w:val="000000"/>
          <w:sz w:val="28"/>
          <w:szCs w:val="28"/>
          <w:shd w:val="clear" w:color="auto" w:fill="FFFFFF"/>
        </w:rPr>
      </w:pPr>
      <w:r w:rsidRPr="001D1CA3">
        <w:rPr>
          <w:rFonts w:ascii="Times New Roman" w:eastAsia="Aptos" w:hAnsi="Times New Roman" w:cs="Times New Roman"/>
          <w:sz w:val="28"/>
          <w:szCs w:val="28"/>
        </w:rPr>
        <w:t>З огляду на це можна дійти висновку, що визначальним у розумінні цієї статті Кодексу є необхідність уникнення саме тих взаємовідносин, які можуть вплинути на неупередженість і об’єктивність виконання прокурором професійних обов’язків, дискредитувати його. На цім неважливо, з яким суб’єктом виникають такі відносини (колеги, керівництво, адвокати, родичі чи будь-які інші особи).</w:t>
      </w:r>
    </w:p>
    <w:p w14:paraId="40D8C3F9" w14:textId="77777777" w:rsidR="001D1CA3" w:rsidRPr="001D1CA3" w:rsidRDefault="001D1CA3" w:rsidP="001D1CA3">
      <w:pPr>
        <w:spacing w:after="0" w:line="240" w:lineRule="auto"/>
        <w:ind w:firstLine="709"/>
        <w:jc w:val="both"/>
        <w:rPr>
          <w:rFonts w:ascii="Times New Roman" w:eastAsia="Aptos" w:hAnsi="Times New Roman" w:cs="Times New Roman"/>
          <w:color w:val="000000"/>
          <w:sz w:val="28"/>
          <w:szCs w:val="28"/>
          <w:shd w:val="clear" w:color="auto" w:fill="FFFFFF"/>
        </w:rPr>
      </w:pPr>
      <w:r w:rsidRPr="001D1CA3">
        <w:rPr>
          <w:rFonts w:ascii="Times New Roman" w:eastAsia="Aptos" w:hAnsi="Times New Roman" w:cs="Times New Roman"/>
          <w:color w:val="000000"/>
          <w:sz w:val="28"/>
          <w:szCs w:val="28"/>
          <w:shd w:val="clear" w:color="auto" w:fill="FFFFFF"/>
        </w:rPr>
        <w:t>Відповідно до статті 27 Кодексу, у відносинах з іншими учасниками судочинства прокурор повинен дотримуватися ділового стилю спілкування, виявляти принциповість і витримку.</w:t>
      </w:r>
    </w:p>
    <w:p w14:paraId="56E30843"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lang w:eastAsia="uk-UA"/>
        </w:rPr>
        <w:t>Коментар до цієї статті, роз’яснює, що у взаємовідносинах з</w:t>
      </w:r>
      <w:r w:rsidRPr="001D1CA3">
        <w:rPr>
          <w:rFonts w:ascii="Times New Roman" w:eastAsia="Aptos" w:hAnsi="Times New Roman" w:cs="Times New Roman"/>
          <w:sz w:val="28"/>
          <w:szCs w:val="28"/>
        </w:rPr>
        <w:t xml:space="preserve"> іншими учасниками судочинства повинно бути усвідомлення прокурором того, що «єдиною метою розслідування є встановлення істини і фактичних обставин справи, з дотриманням прав людини і засадничих принципів, закріплених, зокрема, у статтях 2, 3, 5, 6 і 8 Конвенції, в установлені строки, об’єктивно, неупереджено і </w:t>
      </w:r>
      <w:proofErr w:type="spellStart"/>
      <w:r w:rsidRPr="001D1CA3">
        <w:rPr>
          <w:rFonts w:ascii="Times New Roman" w:eastAsia="Aptos" w:hAnsi="Times New Roman" w:cs="Times New Roman"/>
          <w:sz w:val="28"/>
          <w:szCs w:val="28"/>
        </w:rPr>
        <w:t>професійно</w:t>
      </w:r>
      <w:proofErr w:type="spellEnd"/>
      <w:r w:rsidRPr="001D1CA3">
        <w:rPr>
          <w:rFonts w:ascii="Times New Roman" w:eastAsia="Aptos" w:hAnsi="Times New Roman" w:cs="Times New Roman"/>
          <w:sz w:val="28"/>
          <w:szCs w:val="28"/>
        </w:rPr>
        <w:t>».</w:t>
      </w:r>
    </w:p>
    <w:p w14:paraId="5EC0E641"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Закон України «Про прокуратуру» зобов’язує прокурора виявляти повагу до осіб під час здійснення своїх повноважень (стаття 19). Обов’язок забезпечення поваги до людської гідності, прав і свобод кожної особи закріплено також в процесуальному законодавстві, зокрема, у статтях 7, 11 КПК України.</w:t>
      </w:r>
    </w:p>
    <w:p w14:paraId="294E2561" w14:textId="77777777" w:rsidR="001D1CA3" w:rsidRPr="001D1CA3" w:rsidRDefault="001D1CA3" w:rsidP="001D1CA3">
      <w:pPr>
        <w:spacing w:after="0" w:line="240" w:lineRule="auto"/>
        <w:ind w:firstLine="709"/>
        <w:jc w:val="both"/>
        <w:rPr>
          <w:rFonts w:ascii="Times New Roman" w:eastAsia="Aptos" w:hAnsi="Times New Roman" w:cs="Times New Roman"/>
          <w:sz w:val="28"/>
          <w:szCs w:val="28"/>
          <w:lang w:eastAsia="uk-UA"/>
        </w:rPr>
      </w:pPr>
      <w:r w:rsidRPr="001D1CA3">
        <w:rPr>
          <w:rFonts w:ascii="Times New Roman" w:eastAsia="Aptos" w:hAnsi="Times New Roman" w:cs="Times New Roman"/>
          <w:sz w:val="28"/>
          <w:szCs w:val="28"/>
          <w:lang w:eastAsia="uk-UA"/>
        </w:rPr>
        <w:t>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35FCC4F1"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D1C2F10"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bCs/>
          <w:color w:val="000000"/>
          <w:sz w:val="28"/>
          <w:szCs w:val="28"/>
        </w:rPr>
        <w:t xml:space="preserve">Частиною першою статті 43 </w:t>
      </w:r>
      <w:r w:rsidRPr="001D1CA3">
        <w:rPr>
          <w:rFonts w:ascii="Times New Roman" w:eastAsia="Aptos" w:hAnsi="Times New Roman" w:cs="Times New Roman"/>
          <w:color w:val="000000"/>
          <w:sz w:val="28"/>
          <w:szCs w:val="28"/>
        </w:rPr>
        <w:t xml:space="preserve">Закону України «Про прокуратуру» визначено, що </w:t>
      </w:r>
      <w:bookmarkStart w:id="2" w:name="n417"/>
      <w:bookmarkEnd w:id="2"/>
      <w:r w:rsidRPr="001D1CA3">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7D4646A9"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3" w:name="n418"/>
      <w:bookmarkEnd w:id="3"/>
      <w:r w:rsidRPr="001D1CA3">
        <w:rPr>
          <w:rFonts w:ascii="Times New Roman" w:eastAsia="Aptos" w:hAnsi="Times New Roman" w:cs="Times New Roman"/>
          <w:color w:val="000000"/>
          <w:sz w:val="28"/>
          <w:szCs w:val="28"/>
        </w:rPr>
        <w:t>1) невиконання чи неналежне виконання службових обов’язків;</w:t>
      </w:r>
    </w:p>
    <w:p w14:paraId="0C11B709"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4" w:name="n419"/>
      <w:bookmarkEnd w:id="4"/>
      <w:r w:rsidRPr="001D1CA3">
        <w:rPr>
          <w:rFonts w:ascii="Times New Roman" w:eastAsia="Aptos" w:hAnsi="Times New Roman" w:cs="Times New Roman"/>
          <w:color w:val="000000"/>
          <w:sz w:val="28"/>
          <w:szCs w:val="28"/>
        </w:rPr>
        <w:lastRenderedPageBreak/>
        <w:t>2) необґрунтоване зволікання з розглядом звернення;</w:t>
      </w:r>
    </w:p>
    <w:p w14:paraId="1EA78EA4"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5" w:name="n420"/>
      <w:bookmarkEnd w:id="5"/>
      <w:r w:rsidRPr="001D1CA3">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1D17F02A"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6" w:name="n421"/>
      <w:bookmarkEnd w:id="6"/>
      <w:r w:rsidRPr="001D1CA3">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A6532C8"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8" w:name="n422"/>
      <w:bookmarkEnd w:id="8"/>
      <w:r w:rsidRPr="001D1CA3">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759ECFC"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9" w:name="n423"/>
      <w:bookmarkEnd w:id="9"/>
      <w:r w:rsidRPr="001D1CA3">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2FE56095"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0" w:name="n424"/>
      <w:bookmarkEnd w:id="10"/>
      <w:r w:rsidRPr="001D1CA3">
        <w:rPr>
          <w:rFonts w:ascii="Times New Roman" w:eastAsia="Aptos" w:hAnsi="Times New Roman" w:cs="Times New Roman"/>
          <w:color w:val="000000"/>
          <w:sz w:val="28"/>
          <w:szCs w:val="28"/>
        </w:rPr>
        <w:t>7) порушення правил внутрішнього службового розпорядку;</w:t>
      </w:r>
    </w:p>
    <w:p w14:paraId="0DB6F03A"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1" w:name="n425"/>
      <w:bookmarkEnd w:id="11"/>
      <w:r w:rsidRPr="001D1CA3">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E2A881C"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2" w:name="n426"/>
      <w:bookmarkEnd w:id="12"/>
      <w:r w:rsidRPr="001D1CA3">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00B46601"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3B9E0F3"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2CF780AE"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3" w:name="n441"/>
      <w:bookmarkEnd w:id="13"/>
      <w:r w:rsidRPr="001D1CA3">
        <w:rPr>
          <w:rFonts w:ascii="Times New Roman" w:eastAsia="Aptos" w:hAnsi="Times New Roman" w:cs="Times New Roman"/>
          <w:color w:val="000000"/>
          <w:sz w:val="28"/>
          <w:szCs w:val="28"/>
        </w:rPr>
        <w:t>2) дисциплінарна скарга є анонімною;</w:t>
      </w:r>
    </w:p>
    <w:p w14:paraId="2E104D3F"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4" w:name="n442"/>
      <w:bookmarkEnd w:id="14"/>
      <w:r w:rsidRPr="001D1CA3">
        <w:rPr>
          <w:rFonts w:ascii="Times New Roman" w:eastAsia="Aptos" w:hAnsi="Times New Roman" w:cs="Times New Roman"/>
          <w:color w:val="000000"/>
          <w:sz w:val="28"/>
          <w:szCs w:val="28"/>
        </w:rPr>
        <w:t>3) дисциплінарна скарга подана з підстав, не визначених </w:t>
      </w:r>
      <w:hyperlink r:id="rId6" w:anchor="n416" w:history="1">
        <w:r w:rsidRPr="001D1CA3">
          <w:rPr>
            <w:rFonts w:ascii="Times New Roman" w:eastAsia="Aptos" w:hAnsi="Times New Roman" w:cs="Times New Roman"/>
            <w:color w:val="000000"/>
            <w:sz w:val="28"/>
            <w:szCs w:val="28"/>
            <w:u w:val="single"/>
          </w:rPr>
          <w:t>статтею 43</w:t>
        </w:r>
      </w:hyperlink>
      <w:r w:rsidRPr="001D1CA3">
        <w:rPr>
          <w:rFonts w:ascii="Times New Roman" w:eastAsia="Aptos" w:hAnsi="Times New Roman" w:cs="Times New Roman"/>
          <w:color w:val="000000"/>
          <w:sz w:val="28"/>
          <w:szCs w:val="28"/>
        </w:rPr>
        <w:t> цього Закону;</w:t>
      </w:r>
    </w:p>
    <w:p w14:paraId="4270244B"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5" w:name="n443"/>
      <w:bookmarkEnd w:id="15"/>
      <w:r w:rsidRPr="001D1CA3">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1D1CA3">
          <w:rPr>
            <w:rFonts w:ascii="Times New Roman" w:eastAsia="Aptos" w:hAnsi="Times New Roman" w:cs="Times New Roman"/>
            <w:color w:val="000000"/>
            <w:sz w:val="28"/>
            <w:szCs w:val="28"/>
            <w:u w:val="single"/>
          </w:rPr>
          <w:t> статтею 51</w:t>
        </w:r>
      </w:hyperlink>
      <w:r w:rsidRPr="001D1CA3">
        <w:rPr>
          <w:rFonts w:ascii="Times New Roman" w:eastAsia="Aptos" w:hAnsi="Times New Roman" w:cs="Times New Roman"/>
          <w:color w:val="000000"/>
          <w:sz w:val="28"/>
          <w:szCs w:val="28"/>
        </w:rPr>
        <w:t> цього Закону;</w:t>
      </w:r>
      <w:bookmarkStart w:id="16" w:name="n1893"/>
      <w:bookmarkEnd w:id="16"/>
    </w:p>
    <w:p w14:paraId="632D2E7E" w14:textId="77777777" w:rsidR="001D1CA3" w:rsidRPr="001D1CA3" w:rsidRDefault="001D1CA3" w:rsidP="001D1CA3">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7" w:name="n444"/>
      <w:bookmarkEnd w:id="17"/>
      <w:r w:rsidRPr="001D1CA3">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575D86D1" w14:textId="77777777" w:rsidR="001D1CA3" w:rsidRPr="001D1CA3" w:rsidRDefault="001D1CA3" w:rsidP="001D1CA3">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09E11C" w14:textId="77777777" w:rsidR="001D1CA3" w:rsidRPr="001D1CA3" w:rsidRDefault="001D1CA3" w:rsidP="001D1CA3">
      <w:pPr>
        <w:widowControl w:val="0"/>
        <w:tabs>
          <w:tab w:val="left" w:pos="851"/>
        </w:tabs>
        <w:spacing w:after="0" w:line="240" w:lineRule="auto"/>
        <w:ind w:firstLine="709"/>
        <w:jc w:val="both"/>
        <w:rPr>
          <w:rFonts w:ascii="Times New Roman" w:eastAsia="Aptos" w:hAnsi="Times New Roman" w:cs="Times New Roman"/>
          <w:color w:val="000000"/>
          <w:sz w:val="28"/>
          <w:szCs w:val="28"/>
        </w:rPr>
      </w:pPr>
      <w:r w:rsidRPr="001D1CA3">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D1CA3">
        <w:rPr>
          <w:rFonts w:ascii="Times New Roman" w:eastAsia="Aptos" w:hAnsi="Times New Roman" w:cs="Times New Roman"/>
          <w:color w:val="000000"/>
          <w:sz w:val="28"/>
          <w:szCs w:val="28"/>
        </w:rPr>
        <w:t>причиновий</w:t>
      </w:r>
      <w:proofErr w:type="spellEnd"/>
      <w:r w:rsidRPr="001D1CA3">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80DB934" w14:textId="77777777" w:rsidR="001D1CA3" w:rsidRPr="001D1CA3" w:rsidRDefault="001D1CA3" w:rsidP="001D1CA3">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1D1CA3">
        <w:rPr>
          <w:rFonts w:ascii="Times New Roman" w:eastAsia="Aptos" w:hAnsi="Times New Roman" w:cs="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186C50D" w14:textId="77777777" w:rsidR="001D1CA3" w:rsidRPr="001D1CA3" w:rsidRDefault="001D1CA3" w:rsidP="001D1CA3">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1D1CA3">
        <w:rPr>
          <w:rFonts w:ascii="Times New Roman" w:eastAsia="Aptos" w:hAnsi="Times New Roman" w:cs="Times New Roman"/>
          <w:bCs/>
          <w:color w:val="000000"/>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A42504D" w14:textId="77777777" w:rsidR="001D1CA3" w:rsidRPr="001D1CA3" w:rsidRDefault="001D1CA3" w:rsidP="001D1CA3">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1D1CA3">
        <w:rPr>
          <w:rFonts w:ascii="Times New Roman" w:eastAsia="Aptos" w:hAnsi="Times New Roman" w:cs="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D0F65DF" w14:textId="77777777" w:rsidR="001D1CA3" w:rsidRPr="001D1CA3" w:rsidRDefault="001D1CA3" w:rsidP="001D1CA3">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52C41C4A" w14:textId="77777777" w:rsidR="001D1CA3" w:rsidRPr="001D1CA3" w:rsidRDefault="001D1CA3" w:rsidP="001D1CA3">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1D1CA3">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487E1B86" w14:textId="77777777" w:rsidR="001D1CA3" w:rsidRPr="001D1CA3" w:rsidRDefault="001D1CA3" w:rsidP="001D1CA3">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28F2B8F3" w14:textId="1794B932" w:rsidR="001D1CA3" w:rsidRPr="001D1CA3" w:rsidRDefault="001D1CA3" w:rsidP="001D1CA3">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D1CA3">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1D1CA3">
        <w:rPr>
          <w:rFonts w:ascii="Times New Roman" w:eastAsia="Calibri" w:hAnsi="Times New Roman" w:cs="Times New Roman"/>
          <w:kern w:val="0"/>
          <w:sz w:val="28"/>
          <w:szCs w:val="28"/>
          <w14:ligatures w14:val="none"/>
        </w:rPr>
        <w:t xml:space="preserve"> </w:t>
      </w:r>
      <w:r w:rsidRPr="001D1CA3">
        <w:rPr>
          <w:rFonts w:ascii="Times New Roman" w:eastAsia="Calibri" w:hAnsi="Times New Roman" w:cs="Times New Roman"/>
          <w:color w:val="000000"/>
          <w:kern w:val="0"/>
          <w:sz w:val="28"/>
          <w:szCs w:val="28"/>
          <w14:ligatures w14:val="none"/>
        </w:rPr>
        <w:t xml:space="preserve">стосується рішень, дій та бездіяльності прокурора </w:t>
      </w:r>
      <w:r w:rsidRPr="001D1CA3">
        <w:rPr>
          <w:rFonts w:ascii="Times New Roman" w:eastAsia="Calibri" w:hAnsi="Times New Roman" w:cs="Times New Roman"/>
          <w:kern w:val="0"/>
          <w:sz w:val="28"/>
          <w:szCs w:val="28"/>
          <w14:ligatures w14:val="none"/>
        </w:rPr>
        <w:t xml:space="preserve">Мазур К.О. </w:t>
      </w:r>
      <w:r w:rsidRPr="001D1CA3">
        <w:rPr>
          <w:rFonts w:ascii="Times New Roman" w:eastAsia="Calibri" w:hAnsi="Times New Roman" w:cs="Times New Roman"/>
          <w:color w:val="000000"/>
          <w:kern w:val="0"/>
          <w:sz w:val="28"/>
          <w:szCs w:val="28"/>
          <w14:ligatures w14:val="none"/>
        </w:rPr>
        <w:t>вчинених (допущених) у межах кримінального процесу.</w:t>
      </w:r>
    </w:p>
    <w:p w14:paraId="02AE10E2" w14:textId="77777777" w:rsidR="001D1CA3" w:rsidRPr="001D1CA3" w:rsidRDefault="001D1CA3" w:rsidP="001D1CA3">
      <w:pPr>
        <w:widowControl w:val="0"/>
        <w:tabs>
          <w:tab w:val="left" w:pos="993"/>
        </w:tabs>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ACA4FF8" w14:textId="77777777" w:rsidR="001D1CA3" w:rsidRPr="001D1CA3" w:rsidRDefault="001D1CA3" w:rsidP="001D1CA3">
      <w:pPr>
        <w:widowControl w:val="0"/>
        <w:tabs>
          <w:tab w:val="left" w:pos="993"/>
        </w:tabs>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E6ABAD4"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Отже, Комісія не має повноважень втручатися у кримінальний процес та діяльність прокурора, пов’язану зі здійсненням публічного обвинувачення у кримінальному провадженні.</w:t>
      </w:r>
    </w:p>
    <w:p w14:paraId="0F8E50C7" w14:textId="77777777" w:rsidR="001D1CA3" w:rsidRPr="001D1CA3" w:rsidRDefault="001D1CA3" w:rsidP="001D1CA3">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1D1CA3">
        <w:rPr>
          <w:rFonts w:ascii="Times New Roman" w:eastAsia="Aptos" w:hAnsi="Times New Roman" w:cs="Times New Roman"/>
          <w:sz w:val="28"/>
          <w:szCs w:val="28"/>
        </w:rPr>
        <w:t>Скаржниця</w:t>
      </w:r>
      <w:r w:rsidRPr="001D1CA3">
        <w:rPr>
          <w:rFonts w:ascii="Times New Roman" w:eastAsia="Calibri" w:hAnsi="Times New Roman" w:cs="Times New Roman"/>
          <w:kern w:val="0"/>
          <w:sz w:val="28"/>
          <w:szCs w:val="28"/>
          <w14:ligatures w14:val="none"/>
        </w:rPr>
        <w:t xml:space="preserve"> зазначила, що повідомлення про підозру їй було здійснено без належних доказів.</w:t>
      </w:r>
    </w:p>
    <w:p w14:paraId="61BD9C36"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Проте відповідно до частини першої статті 276 КПК України повідомлення про підозру здійснюється за наявності достатніх доказів для підозри особи у вчиненні кримінального правопорушення.</w:t>
      </w:r>
    </w:p>
    <w:p w14:paraId="421EAD1E"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Якщо особа, якій </w:t>
      </w:r>
      <w:proofErr w:type="spellStart"/>
      <w:r w:rsidRPr="001D1CA3">
        <w:rPr>
          <w:rFonts w:ascii="Times New Roman" w:eastAsia="Aptos" w:hAnsi="Times New Roman" w:cs="Times New Roman"/>
          <w:sz w:val="28"/>
          <w:szCs w:val="28"/>
        </w:rPr>
        <w:t>вручено</w:t>
      </w:r>
      <w:proofErr w:type="spellEnd"/>
      <w:r w:rsidRPr="001D1CA3">
        <w:rPr>
          <w:rFonts w:ascii="Times New Roman" w:eastAsia="Aptos" w:hAnsi="Times New Roman" w:cs="Times New Roman"/>
          <w:sz w:val="28"/>
          <w:szCs w:val="28"/>
        </w:rPr>
        <w:t xml:space="preserve"> повідомлення про підозру, вважає вказану дію необґрунтованою та незаконною, то вона має право, в порядку пункту 10 частини першої статті 303 КПК України, оскаржити повідомлення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 але не пізніше закриття прокурором кримінального провадження або звернення до суду із обвинувальним актом – підозрюваним, його захисником чи законним представником.</w:t>
      </w:r>
    </w:p>
    <w:p w14:paraId="2DE42826"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У той же час скаржниця не скористалася своїм правом на оскарження, оскільки до матеріалів дисциплінарної скарги не долучено копій судових рішень про визнання підозри необґрунтованою та неправомірною.</w:t>
      </w:r>
    </w:p>
    <w:p w14:paraId="24E501E3"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Також скаржниця вказала, що прокурор Мазур К.О. не врахувала доводів </w:t>
      </w:r>
      <w:r w:rsidRPr="001D1CA3">
        <w:rPr>
          <w:rFonts w:ascii="Times New Roman" w:eastAsia="Aptos" w:hAnsi="Times New Roman" w:cs="Times New Roman"/>
          <w:sz w:val="28"/>
          <w:szCs w:val="28"/>
        </w:rPr>
        <w:lastRenderedPageBreak/>
        <w:t>сторони захисту, продовжувала підтримувати обвинувачення попри суперечливість і недостатність доказів, а також не вжила належних заходів щодо іншої особи, хоча для цього були наявні достатні підстави.</w:t>
      </w:r>
    </w:p>
    <w:p w14:paraId="00863145"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r w:rsidRPr="001D1CA3">
        <w:rPr>
          <w:rFonts w:ascii="Times New Roman" w:eastAsia="Aptos" w:hAnsi="Times New Roman" w:cs="Times New Roman"/>
          <w:sz w:val="28"/>
          <w:szCs w:val="28"/>
        </w:rPr>
        <w:t>Слід</w:t>
      </w:r>
      <w:r w:rsidRPr="001D1CA3">
        <w:rPr>
          <w:rFonts w:ascii="Times New Roman" w:eastAsia="Aptos" w:hAnsi="Times New Roman" w:cs="Times New Roman"/>
          <w:color w:val="000000"/>
          <w:sz w:val="28"/>
          <w:szCs w:val="28"/>
        </w:rPr>
        <w:t xml:space="preserve"> зазначити, що </w:t>
      </w:r>
      <w:r w:rsidRPr="001D1CA3">
        <w:rPr>
          <w:rFonts w:ascii="Times New Roman" w:eastAsia="Aptos" w:hAnsi="Times New Roman" w:cs="Times New Roman"/>
          <w:color w:val="000000"/>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sidRPr="001D1CA3">
        <w:rPr>
          <w:rFonts w:ascii="Times New Roman" w:eastAsia="Aptos" w:hAnsi="Times New Roman" w:cs="Times New Roman"/>
          <w:color w:val="000000"/>
          <w:sz w:val="28"/>
          <w:szCs w:val="28"/>
          <w:shd w:val="clear" w:color="auto" w:fill="FFFFFF"/>
        </w:rPr>
        <w:br/>
        <w:t xml:space="preserve">У зв’язку з чим, скаржниця не обмежена у праві на подання нею до суду доказів, які, на її думку, спростовують наявність у її діях ознак кримінального правопорушенні, а суд, на основі сукупності всіх отриманих доказів, встановлює винуватість або невинуватість особи. </w:t>
      </w:r>
    </w:p>
    <w:p w14:paraId="371CC257" w14:textId="77777777" w:rsidR="001D1CA3" w:rsidRPr="001D1CA3" w:rsidRDefault="001D1CA3" w:rsidP="001D1CA3">
      <w:pPr>
        <w:widowControl w:val="0"/>
        <w:pBdr>
          <w:bottom w:val="single" w:sz="12" w:space="12" w:color="FFFFFF"/>
        </w:pBdr>
        <w:spacing w:after="0" w:line="240" w:lineRule="auto"/>
        <w:ind w:firstLine="708"/>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Скаржниця наділена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скаржницею наразі не використано такого свого права.  </w:t>
      </w:r>
    </w:p>
    <w:p w14:paraId="655845C4" w14:textId="77777777" w:rsidR="001D1CA3" w:rsidRPr="001D1CA3" w:rsidRDefault="001D1CA3" w:rsidP="001D1CA3">
      <w:pPr>
        <w:widowControl w:val="0"/>
        <w:pBdr>
          <w:bottom w:val="single" w:sz="12" w:space="12" w:color="FFFFFF"/>
        </w:pBdr>
        <w:spacing w:after="0" w:line="240" w:lineRule="auto"/>
        <w:ind w:firstLine="708"/>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Зважаючи на те, що неможливо встановити, що окремі рішення, дії чи бездіяльність прокурора Мазур К.О. були предметом оскарження та їх визнано неправомірними, а також встановлено факт порушення нею прав осіб або вимог закону, Комісія позбавлена можливості надавати оцінку діяльності прокурора у межах кримінального процесу.</w:t>
      </w:r>
    </w:p>
    <w:p w14:paraId="0679646C"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Times New Roman" w:hAnsi="Times New Roman" w:cs="Calibri"/>
          <w:sz w:val="28"/>
          <w:szCs w:val="28"/>
          <w:lang w:eastAsia="uk-UA"/>
        </w:rPr>
        <w:t xml:space="preserve">Щодо доводів скаржниці про вчинення </w:t>
      </w:r>
      <w:r w:rsidRPr="001D1CA3">
        <w:rPr>
          <w:rFonts w:ascii="Times New Roman" w:eastAsia="Aptos" w:hAnsi="Times New Roman" w:cs="Times New Roman"/>
          <w:sz w:val="28"/>
          <w:szCs w:val="28"/>
        </w:rPr>
        <w:t xml:space="preserve">Мазур К.О. </w:t>
      </w:r>
      <w:r w:rsidRPr="001D1CA3">
        <w:rPr>
          <w:rFonts w:ascii="Times New Roman" w:eastAsia="Aptos" w:hAnsi="Times New Roman" w:cs="Times New Roman"/>
          <w:bCs/>
          <w:sz w:val="28"/>
          <w:szCs w:val="28"/>
        </w:rPr>
        <w:t xml:space="preserve"> </w:t>
      </w:r>
      <w:r w:rsidRPr="001D1CA3">
        <w:rPr>
          <w:rFonts w:ascii="Times New Roman" w:eastAsia="Times New Roman" w:hAnsi="Times New Roman" w:cs="Calibri"/>
          <w:sz w:val="28"/>
          <w:szCs w:val="28"/>
          <w:lang w:eastAsia="uk-UA"/>
        </w:rPr>
        <w:t>дій, що порочать звання прокурора і можуть викликати сумнів у її об’єктивності, неупередженості та незалежності, у чесності та непідкупності органів прокуратури, слід зазначити таке.</w:t>
      </w:r>
    </w:p>
    <w:p w14:paraId="7A0E2C24"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CC06807"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1D1CA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1D1CA3">
        <w:rPr>
          <w:rFonts w:ascii="Times New Roman" w:eastAsia="Aptos" w:hAnsi="Times New Roman" w:cs="Calibri"/>
          <w:sz w:val="28"/>
          <w:szCs w:val="28"/>
        </w:rPr>
        <w:t>прокурором</w:t>
      </w:r>
      <w:r w:rsidRPr="001D1CA3">
        <w:rPr>
          <w:rFonts w:ascii="Times New Roman" w:eastAsia="Aptos" w:hAnsi="Times New Roman" w:cs="Times New Roman"/>
          <w:sz w:val="28"/>
          <w:szCs w:val="28"/>
        </w:rPr>
        <w:t xml:space="preserve"> </w:t>
      </w:r>
      <w:r w:rsidRPr="001D1CA3">
        <w:rPr>
          <w:rFonts w:ascii="Times New Roman" w:eastAsia="Times New Roman" w:hAnsi="Times New Roman" w:cs="Calibri"/>
          <w:sz w:val="28"/>
          <w:szCs w:val="28"/>
          <w:lang w:eastAsia="uk-UA"/>
        </w:rPr>
        <w:t>будь-якої з вищезазначених дій.</w:t>
      </w:r>
    </w:p>
    <w:p w14:paraId="4C638D43"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Times New Roman" w:hAnsi="Times New Roman" w:cs="Calibri"/>
          <w:sz w:val="28"/>
          <w:szCs w:val="28"/>
          <w:lang w:eastAsia="uk-UA"/>
        </w:rPr>
        <w:t xml:space="preserve">Крім того, </w:t>
      </w:r>
      <w:r w:rsidRPr="001D1CA3">
        <w:rPr>
          <w:rFonts w:ascii="Times New Roman" w:eastAsia="Aptos" w:hAnsi="Times New Roman" w:cs="Times New Roman"/>
          <w:sz w:val="28"/>
          <w:szCs w:val="28"/>
        </w:rPr>
        <w:t xml:space="preserve">скаржниця покликалася на </w:t>
      </w:r>
      <w:r w:rsidRPr="001D1CA3">
        <w:rPr>
          <w:rFonts w:ascii="Times New Roman" w:eastAsia="Calibri" w:hAnsi="Times New Roman" w:cs="Times New Roman"/>
          <w:color w:val="000000"/>
          <w:kern w:val="0"/>
          <w:sz w:val="28"/>
          <w:szCs w:val="28"/>
          <w14:ligatures w14:val="none"/>
        </w:rPr>
        <w:t xml:space="preserve">можливе порушення прокурором Мазур К.О. правил професійної етики під час здійснення публічного обвинувачення, що полягало в її неналежній поведінці </w:t>
      </w:r>
      <w:r w:rsidRPr="001D1CA3">
        <w:rPr>
          <w:rFonts w:ascii="Times New Roman" w:eastAsia="Aptos" w:hAnsi="Times New Roman" w:cs="Times New Roman"/>
          <w:sz w:val="28"/>
          <w:szCs w:val="28"/>
        </w:rPr>
        <w:t xml:space="preserve">під час судових засідань, </w:t>
      </w:r>
      <w:r w:rsidRPr="001D1CA3">
        <w:rPr>
          <w:rFonts w:ascii="Times New Roman" w:eastAsia="Aptos" w:hAnsi="Times New Roman" w:cs="Times New Roman"/>
          <w:sz w:val="28"/>
          <w:szCs w:val="28"/>
        </w:rPr>
        <w:lastRenderedPageBreak/>
        <w:t xml:space="preserve">недотримання нею вимог до зовнішнього вигляду тощо. </w:t>
      </w:r>
    </w:p>
    <w:p w14:paraId="222F3070"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Встановлення того, чи мало місце порушення прокурором етичних правил та чи завдало воно шкоди авторитету прокуратури у зв’язку з її висловлюваннями і поведінкою, є оціночним та потребує врахування конкретних обставин справи і суспільного резонансу.</w:t>
      </w:r>
    </w:p>
    <w:p w14:paraId="0761FE26"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Водночас дисциплінарна скарга не містить відомостей, які б підтверджували викладені в ній обставини щодо можливого порушення прокурором правил прокурорської етики, а є лише суб’єктивною оцінкою скаржниці подій, що відбувалися під час судових засідань. </w:t>
      </w:r>
    </w:p>
    <w:p w14:paraId="555FB9E4"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Слід зазначити, що Комісія або її член не приймає рішень на підставі припущень, неперевіреної чи недостовірної інформації. </w:t>
      </w:r>
    </w:p>
    <w:p w14:paraId="546B419C"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bCs/>
          <w:sz w:val="28"/>
          <w:szCs w:val="28"/>
        </w:rPr>
      </w:pPr>
      <w:r w:rsidRPr="001D1CA3">
        <w:rPr>
          <w:rFonts w:ascii="Times New Roman" w:eastAsia="Aptos" w:hAnsi="Times New Roman" w:cs="Times New Roman"/>
          <w:sz w:val="28"/>
          <w:szCs w:val="28"/>
        </w:rPr>
        <w:t>Отже, з огляду на наведені обставини дисциплінарна скарга наразі не містить відомостей про вчинення прокурором Мазур К.О. дій, які можуть бути розцінені як порушення професійної етики.</w:t>
      </w:r>
    </w:p>
    <w:p w14:paraId="31C0D916"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bCs/>
          <w:sz w:val="28"/>
          <w:szCs w:val="28"/>
        </w:rPr>
      </w:pPr>
      <w:r w:rsidRPr="001D1CA3">
        <w:rPr>
          <w:rFonts w:ascii="Times New Roman" w:eastAsia="Aptos" w:hAnsi="Times New Roman" w:cs="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Мазур К.О. </w:t>
      </w:r>
      <w:r w:rsidRPr="001D1CA3">
        <w:rPr>
          <w:rFonts w:ascii="Times New Roman" w:eastAsia="Aptos" w:hAnsi="Times New Roman" w:cs="Times New Roman"/>
          <w:bCs/>
          <w:sz w:val="28"/>
          <w:szCs w:val="28"/>
        </w:rPr>
        <w:t xml:space="preserve"> </w:t>
      </w:r>
    </w:p>
    <w:p w14:paraId="4E54EB8C"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ADD296F" w14:textId="77777777" w:rsidR="001D1CA3" w:rsidRPr="001D1CA3" w:rsidRDefault="001D1CA3" w:rsidP="001D1CA3">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r w:rsidRPr="001D1CA3">
        <w:rPr>
          <w:rFonts w:ascii="Times New Roman" w:eastAsia="Aptos" w:hAnsi="Times New Roman" w:cs="Times New Roman"/>
          <w:b/>
          <w:sz w:val="28"/>
          <w:szCs w:val="28"/>
        </w:rPr>
        <w:t>В И Р І Ш И В:</w:t>
      </w:r>
    </w:p>
    <w:p w14:paraId="018B5D6C" w14:textId="77777777" w:rsidR="001D1CA3" w:rsidRPr="001D1CA3" w:rsidRDefault="001D1CA3" w:rsidP="001D1CA3">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p>
    <w:p w14:paraId="5A8BA065" w14:textId="77777777" w:rsidR="001D1CA3" w:rsidRPr="001D1CA3" w:rsidRDefault="001D1CA3" w:rsidP="001D1CA3">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 xml:space="preserve">Відмовити у відкритті дисциплінарного провадження стосовно </w:t>
      </w:r>
      <w:r w:rsidRPr="001D1CA3">
        <w:rPr>
          <w:rFonts w:ascii="Times New Roman" w:eastAsia="Calibri" w:hAnsi="Times New Roman" w:cs="Times New Roman"/>
          <w:kern w:val="0"/>
          <w:sz w:val="28"/>
          <w:szCs w:val="28"/>
          <w14:ligatures w14:val="none"/>
        </w:rPr>
        <w:t>прокурора Західної окружної прокуратури міста Дніпра Мазур Каріни Олегівни</w:t>
      </w:r>
      <w:r w:rsidRPr="001D1CA3">
        <w:rPr>
          <w:rFonts w:ascii="Times New Roman" w:eastAsia="Aptos" w:hAnsi="Times New Roman" w:cs="Times New Roman"/>
          <w:sz w:val="28"/>
          <w:szCs w:val="28"/>
        </w:rPr>
        <w:t>.</w:t>
      </w:r>
    </w:p>
    <w:p w14:paraId="39952A52" w14:textId="77777777" w:rsidR="001D1CA3" w:rsidRPr="001D1CA3" w:rsidRDefault="001D1CA3" w:rsidP="001D1CA3">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1D1CA3">
        <w:rPr>
          <w:rFonts w:ascii="Times New Roman" w:eastAsia="Aptos" w:hAnsi="Times New Roman" w:cs="Times New Roman"/>
          <w:sz w:val="28"/>
          <w:szCs w:val="28"/>
        </w:rPr>
        <w:t>Рішення направити скаржниці та названому прокурору.</w:t>
      </w:r>
    </w:p>
    <w:p w14:paraId="2A8552BF" w14:textId="77777777" w:rsidR="001D1CA3" w:rsidRPr="001D1CA3" w:rsidRDefault="001D1CA3" w:rsidP="001D1CA3">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p>
    <w:p w14:paraId="57C443C0" w14:textId="77777777" w:rsidR="001D1CA3" w:rsidRPr="001D1CA3" w:rsidRDefault="001D1CA3" w:rsidP="001D1CA3">
      <w:pPr>
        <w:widowControl w:val="0"/>
        <w:tabs>
          <w:tab w:val="left" w:pos="851"/>
        </w:tabs>
        <w:spacing w:after="0" w:line="240" w:lineRule="auto"/>
        <w:jc w:val="both"/>
        <w:rPr>
          <w:rFonts w:ascii="Times New Roman" w:eastAsia="Aptos" w:hAnsi="Times New Roman" w:cs="Times New Roman"/>
          <w:b/>
          <w:sz w:val="28"/>
          <w:szCs w:val="28"/>
        </w:rPr>
      </w:pPr>
      <w:r w:rsidRPr="001D1CA3">
        <w:rPr>
          <w:rFonts w:ascii="Times New Roman" w:eastAsia="Aptos" w:hAnsi="Times New Roman" w:cs="Times New Roman"/>
          <w:b/>
          <w:sz w:val="28"/>
          <w:szCs w:val="28"/>
        </w:rPr>
        <w:t>Член Комісії                                                                                 Максим РАДЗІВОН</w:t>
      </w:r>
    </w:p>
    <w:p w14:paraId="1F67F8D7"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72C20CA5" w14:textId="77777777" w:rsidR="001D1CA3" w:rsidRPr="001D1CA3" w:rsidRDefault="001D1CA3" w:rsidP="001D1CA3">
      <w:pPr>
        <w:widowControl w:val="0"/>
        <w:tabs>
          <w:tab w:val="left" w:pos="709"/>
          <w:tab w:val="left" w:pos="851"/>
        </w:tabs>
        <w:spacing w:after="0" w:line="240" w:lineRule="auto"/>
        <w:jc w:val="both"/>
        <w:rPr>
          <w:rFonts w:ascii="Aptos" w:eastAsia="Aptos" w:hAnsi="Aptos" w:cs="Times New Roman"/>
        </w:rPr>
      </w:pPr>
    </w:p>
    <w:p w14:paraId="196C0D28" w14:textId="77777777" w:rsidR="001D1CA3" w:rsidRPr="001D1CA3" w:rsidRDefault="001D1CA3" w:rsidP="001D1CA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61416AB5" w14:textId="77777777" w:rsidR="001D1CA3" w:rsidRPr="001D1CA3" w:rsidRDefault="001D1CA3" w:rsidP="001D1CA3">
      <w:pPr>
        <w:spacing w:after="0" w:line="240" w:lineRule="auto"/>
        <w:rPr>
          <w:rFonts w:ascii="Aptos" w:eastAsia="Aptos" w:hAnsi="Aptos" w:cs="Times New Roman"/>
        </w:rPr>
      </w:pPr>
    </w:p>
    <w:p w14:paraId="2BDABA4B" w14:textId="77777777" w:rsidR="001D1CA3" w:rsidRDefault="001D1CA3"/>
    <w:sectPr w:rsidR="001D1C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1296175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A3"/>
    <w:rsid w:val="001D1CA3"/>
    <w:rsid w:val="00366F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8765"/>
  <w15:chartTrackingRefBased/>
  <w15:docId w15:val="{B73999A7-744D-4B58-8C56-B28FBD1F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1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1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1C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1C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1C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1C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1C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1C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1C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1C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1C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1C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1C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1C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1C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1CA3"/>
    <w:rPr>
      <w:rFonts w:eastAsiaTheme="majorEastAsia" w:cstheme="majorBidi"/>
      <w:color w:val="595959" w:themeColor="text1" w:themeTint="A6"/>
    </w:rPr>
  </w:style>
  <w:style w:type="character" w:customStyle="1" w:styleId="80">
    <w:name w:val="Заголовок 8 Знак"/>
    <w:basedOn w:val="a0"/>
    <w:link w:val="8"/>
    <w:uiPriority w:val="9"/>
    <w:semiHidden/>
    <w:rsid w:val="001D1C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1CA3"/>
    <w:rPr>
      <w:rFonts w:eastAsiaTheme="majorEastAsia" w:cstheme="majorBidi"/>
      <w:color w:val="272727" w:themeColor="text1" w:themeTint="D8"/>
    </w:rPr>
  </w:style>
  <w:style w:type="paragraph" w:styleId="a3">
    <w:name w:val="Title"/>
    <w:basedOn w:val="a"/>
    <w:next w:val="a"/>
    <w:link w:val="a4"/>
    <w:uiPriority w:val="10"/>
    <w:qFormat/>
    <w:rsid w:val="001D1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D1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CA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D1CA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1CA3"/>
    <w:pPr>
      <w:spacing w:before="160"/>
      <w:jc w:val="center"/>
    </w:pPr>
    <w:rPr>
      <w:i/>
      <w:iCs/>
      <w:color w:val="404040" w:themeColor="text1" w:themeTint="BF"/>
    </w:rPr>
  </w:style>
  <w:style w:type="character" w:customStyle="1" w:styleId="a8">
    <w:name w:val="Цитата Знак"/>
    <w:basedOn w:val="a0"/>
    <w:link w:val="a7"/>
    <w:uiPriority w:val="29"/>
    <w:rsid w:val="001D1CA3"/>
    <w:rPr>
      <w:i/>
      <w:iCs/>
      <w:color w:val="404040" w:themeColor="text1" w:themeTint="BF"/>
    </w:rPr>
  </w:style>
  <w:style w:type="paragraph" w:styleId="a9">
    <w:name w:val="List Paragraph"/>
    <w:basedOn w:val="a"/>
    <w:uiPriority w:val="34"/>
    <w:qFormat/>
    <w:rsid w:val="001D1CA3"/>
    <w:pPr>
      <w:ind w:left="720"/>
      <w:contextualSpacing/>
    </w:pPr>
  </w:style>
  <w:style w:type="character" w:styleId="aa">
    <w:name w:val="Intense Emphasis"/>
    <w:basedOn w:val="a0"/>
    <w:uiPriority w:val="21"/>
    <w:qFormat/>
    <w:rsid w:val="001D1CA3"/>
    <w:rPr>
      <w:i/>
      <w:iCs/>
      <w:color w:val="0F4761" w:themeColor="accent1" w:themeShade="BF"/>
    </w:rPr>
  </w:style>
  <w:style w:type="paragraph" w:styleId="ab">
    <w:name w:val="Intense Quote"/>
    <w:basedOn w:val="a"/>
    <w:next w:val="a"/>
    <w:link w:val="ac"/>
    <w:uiPriority w:val="30"/>
    <w:qFormat/>
    <w:rsid w:val="001D1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D1CA3"/>
    <w:rPr>
      <w:i/>
      <w:iCs/>
      <w:color w:val="0F4761" w:themeColor="accent1" w:themeShade="BF"/>
    </w:rPr>
  </w:style>
  <w:style w:type="character" w:styleId="ad">
    <w:name w:val="Intense Reference"/>
    <w:basedOn w:val="a0"/>
    <w:uiPriority w:val="32"/>
    <w:qFormat/>
    <w:rsid w:val="001D1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13694</Words>
  <Characters>7806</Characters>
  <DocSecurity>0</DocSecurity>
  <Lines>65</Lines>
  <Paragraphs>42</Paragraphs>
  <ScaleCrop>false</ScaleCrop>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2026-03-25T09:41:00Z</dcterms:created>
  <dcterms:modified xsi:type="dcterms:W3CDTF">2026-03-25T09:42:00Z</dcterms:modified>
</cp:coreProperties>
</file>