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4115" w14:textId="77777777" w:rsidR="00D815E3" w:rsidRDefault="00000000">
      <w:pPr>
        <w:pStyle w:val="a6"/>
        <w:jc w:val="center"/>
        <w:rPr>
          <w:sz w:val="26"/>
        </w:rPr>
      </w:pPr>
      <w:r>
        <w:rPr>
          <w:noProof/>
          <w:sz w:val="19"/>
          <w:lang w:val="en-US"/>
        </w:rPr>
        <w:drawing>
          <wp:inline distT="0" distB="0" distL="0" distR="0" wp14:anchorId="69F04C8E" wp14:editId="42B5CB36">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6403804B" w14:textId="77777777" w:rsidR="00D815E3" w:rsidRDefault="00D815E3">
      <w:pPr>
        <w:pStyle w:val="a6"/>
        <w:jc w:val="center"/>
        <w:rPr>
          <w:b/>
          <w:sz w:val="10"/>
        </w:rPr>
      </w:pPr>
    </w:p>
    <w:p w14:paraId="755DA9E4" w14:textId="77777777" w:rsidR="00D815E3" w:rsidRDefault="00000000">
      <w:pPr>
        <w:jc w:val="center"/>
        <w:rPr>
          <w:b/>
          <w:kern w:val="28"/>
          <w:sz w:val="28"/>
          <w:szCs w:val="28"/>
          <w:lang w:eastAsia="uk-UA"/>
        </w:rPr>
      </w:pPr>
      <w:r>
        <w:rPr>
          <w:bCs/>
          <w:kern w:val="28"/>
          <w:sz w:val="36"/>
          <w:szCs w:val="32"/>
        </w:rPr>
        <w:t xml:space="preserve">КВАЛІФІКАЦІЙНО-ДИСЦИПЛІНАРНА </w:t>
      </w:r>
      <w:r>
        <w:rPr>
          <w:bCs/>
          <w:kern w:val="28"/>
          <w:sz w:val="36"/>
          <w:szCs w:val="32"/>
        </w:rPr>
        <w:br/>
        <w:t>КОМІСІЯ ПРОКУРОРІВ</w:t>
      </w:r>
    </w:p>
    <w:p w14:paraId="254B7835" w14:textId="77777777" w:rsidR="00D815E3" w:rsidRDefault="00D815E3">
      <w:pPr>
        <w:ind w:left="84"/>
        <w:jc w:val="center"/>
        <w:rPr>
          <w:b/>
          <w:kern w:val="28"/>
          <w:sz w:val="28"/>
          <w:szCs w:val="28"/>
          <w:lang w:eastAsia="uk-UA"/>
        </w:rPr>
      </w:pPr>
    </w:p>
    <w:p w14:paraId="5B4F3DC7" w14:textId="77777777" w:rsidR="00D815E3" w:rsidRDefault="00000000">
      <w:pPr>
        <w:ind w:left="84"/>
        <w:jc w:val="center"/>
        <w:rPr>
          <w:b/>
          <w:kern w:val="28"/>
          <w:sz w:val="28"/>
          <w:szCs w:val="28"/>
          <w:lang w:eastAsia="uk-UA"/>
        </w:rPr>
      </w:pPr>
      <w:r>
        <w:rPr>
          <w:b/>
          <w:kern w:val="28"/>
          <w:sz w:val="28"/>
          <w:szCs w:val="28"/>
          <w:lang w:eastAsia="uk-UA"/>
        </w:rPr>
        <w:t xml:space="preserve">Р І Ш Е Н </w:t>
      </w:r>
      <w:proofErr w:type="spellStart"/>
      <w:r>
        <w:rPr>
          <w:b/>
          <w:kern w:val="28"/>
          <w:sz w:val="28"/>
          <w:szCs w:val="28"/>
          <w:lang w:eastAsia="uk-UA"/>
        </w:rPr>
        <w:t>Н</w:t>
      </w:r>
      <w:proofErr w:type="spellEnd"/>
      <w:r>
        <w:rPr>
          <w:b/>
          <w:kern w:val="28"/>
          <w:sz w:val="28"/>
          <w:szCs w:val="28"/>
          <w:lang w:eastAsia="uk-UA"/>
        </w:rPr>
        <w:t xml:space="preserve"> Я</w:t>
      </w:r>
    </w:p>
    <w:p w14:paraId="0A01E1CC" w14:textId="77777777" w:rsidR="00D815E3" w:rsidRDefault="00D815E3">
      <w:pPr>
        <w:ind w:left="84"/>
        <w:jc w:val="center"/>
        <w:rPr>
          <w:b/>
          <w:kern w:val="28"/>
          <w:szCs w:val="28"/>
          <w:lang w:eastAsia="uk-UA"/>
        </w:rPr>
      </w:pPr>
    </w:p>
    <w:p w14:paraId="0540152C" w14:textId="77777777" w:rsidR="00D815E3" w:rsidRDefault="00000000">
      <w:pPr>
        <w:rPr>
          <w:b/>
          <w:kern w:val="28"/>
          <w:sz w:val="28"/>
          <w:szCs w:val="28"/>
          <w:lang w:eastAsia="uk-UA"/>
        </w:rPr>
      </w:pPr>
      <w:r>
        <w:rPr>
          <w:b/>
          <w:kern w:val="28"/>
          <w:sz w:val="28"/>
          <w:szCs w:val="28"/>
          <w:lang w:eastAsia="uk-UA"/>
        </w:rPr>
        <w:t>10 березня 2026 року</w:t>
      </w:r>
      <w:r>
        <w:rPr>
          <w:b/>
          <w:kern w:val="28"/>
          <w:sz w:val="28"/>
          <w:szCs w:val="28"/>
          <w:lang w:eastAsia="uk-UA"/>
        </w:rPr>
        <w:tab/>
      </w:r>
      <w:r>
        <w:rPr>
          <w:b/>
          <w:kern w:val="28"/>
          <w:sz w:val="28"/>
          <w:szCs w:val="28"/>
          <w:lang w:eastAsia="uk-UA"/>
        </w:rPr>
        <w:tab/>
        <w:t xml:space="preserve">                Київ</w:t>
      </w:r>
      <w:r>
        <w:rPr>
          <w:b/>
          <w:kern w:val="28"/>
          <w:sz w:val="28"/>
          <w:szCs w:val="28"/>
          <w:lang w:eastAsia="uk-UA"/>
        </w:rPr>
        <w:tab/>
      </w:r>
      <w:r>
        <w:rPr>
          <w:b/>
          <w:kern w:val="28"/>
          <w:sz w:val="28"/>
          <w:szCs w:val="28"/>
          <w:lang w:eastAsia="uk-UA"/>
        </w:rPr>
        <w:tab/>
        <w:t xml:space="preserve">                       № 175дс-26</w:t>
      </w:r>
    </w:p>
    <w:p w14:paraId="0678E618" w14:textId="77777777" w:rsidR="00D815E3" w:rsidRDefault="00D815E3">
      <w:pPr>
        <w:contextualSpacing/>
        <w:rPr>
          <w:b/>
          <w:sz w:val="28"/>
          <w:szCs w:val="28"/>
          <w:lang w:eastAsia="uk-UA"/>
        </w:rPr>
      </w:pPr>
    </w:p>
    <w:p w14:paraId="671FE788" w14:textId="77777777" w:rsidR="00D815E3" w:rsidRDefault="00000000">
      <w:pPr>
        <w:contextualSpacing/>
        <w:rPr>
          <w:b/>
          <w:sz w:val="28"/>
          <w:szCs w:val="28"/>
          <w:lang w:eastAsia="uk-UA"/>
        </w:rPr>
      </w:pPr>
      <w:r>
        <w:rPr>
          <w:b/>
          <w:sz w:val="28"/>
          <w:szCs w:val="28"/>
          <w:lang w:eastAsia="uk-UA"/>
        </w:rPr>
        <w:t xml:space="preserve">Про відмову у відкритті </w:t>
      </w:r>
    </w:p>
    <w:p w14:paraId="4E022AD1" w14:textId="77777777" w:rsidR="00D815E3" w:rsidRDefault="00000000">
      <w:pPr>
        <w:contextualSpacing/>
        <w:rPr>
          <w:b/>
          <w:sz w:val="28"/>
          <w:szCs w:val="28"/>
          <w:lang w:eastAsia="uk-UA"/>
        </w:rPr>
      </w:pPr>
      <w:r>
        <w:rPr>
          <w:b/>
          <w:sz w:val="28"/>
          <w:szCs w:val="28"/>
          <w:lang w:eastAsia="uk-UA"/>
        </w:rPr>
        <w:t>дисциплінарного провадження</w:t>
      </w:r>
    </w:p>
    <w:p w14:paraId="443168AB" w14:textId="77777777" w:rsidR="00D815E3" w:rsidRDefault="00D815E3">
      <w:pPr>
        <w:contextualSpacing/>
        <w:rPr>
          <w:b/>
          <w:sz w:val="28"/>
          <w:szCs w:val="28"/>
          <w:lang w:eastAsia="uk-UA"/>
        </w:rPr>
      </w:pPr>
    </w:p>
    <w:p w14:paraId="368952AC" w14:textId="46780D46" w:rsidR="00D815E3"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Мнишенко</w:t>
      </w:r>
      <w:proofErr w:type="spellEnd"/>
      <w:r>
        <w:rPr>
          <w:rFonts w:ascii="Times New Roman" w:hAnsi="Times New Roman"/>
          <w:sz w:val="28"/>
          <w:szCs w:val="28"/>
        </w:rPr>
        <w:t xml:space="preserve"> Є.С., розглянувши дисциплінарну скаргу адвоката </w:t>
      </w:r>
      <w:r w:rsidR="003804BE">
        <w:rPr>
          <w:rFonts w:ascii="Times New Roman" w:hAnsi="Times New Roman"/>
          <w:sz w:val="28"/>
          <w:szCs w:val="28"/>
        </w:rPr>
        <w:t xml:space="preserve">ОСОБА_1 </w:t>
      </w:r>
      <w:r>
        <w:rPr>
          <w:rFonts w:ascii="Times New Roman" w:hAnsi="Times New Roman"/>
          <w:sz w:val="28"/>
          <w:szCs w:val="28"/>
        </w:rPr>
        <w:t xml:space="preserve">стосовно прокурора Фастівської окружної прокуратури Київської області Рудика Руслана Юрійовича </w:t>
      </w:r>
      <w:r>
        <w:rPr>
          <w:rFonts w:ascii="Times New Roman" w:hAnsi="Times New Roman"/>
          <w:color w:val="000000" w:themeColor="text1"/>
          <w:sz w:val="28"/>
          <w:szCs w:val="28"/>
        </w:rPr>
        <w:t>(далі – прокурор Рудик Р.Ю.),</w:t>
      </w:r>
    </w:p>
    <w:p w14:paraId="4D354F33" w14:textId="77777777" w:rsidR="00D815E3" w:rsidRDefault="00D815E3">
      <w:pPr>
        <w:tabs>
          <w:tab w:val="left" w:pos="567"/>
        </w:tabs>
        <w:ind w:firstLine="567"/>
        <w:contextualSpacing/>
        <w:jc w:val="center"/>
        <w:rPr>
          <w:b/>
          <w:color w:val="000000" w:themeColor="text1"/>
          <w:sz w:val="28"/>
          <w:szCs w:val="28"/>
          <w:lang w:eastAsia="uk-UA"/>
        </w:rPr>
      </w:pPr>
    </w:p>
    <w:p w14:paraId="112C32A5" w14:textId="77777777" w:rsidR="00D815E3" w:rsidRDefault="00000000">
      <w:pPr>
        <w:tabs>
          <w:tab w:val="left" w:pos="567"/>
        </w:tabs>
        <w:ind w:firstLine="567"/>
        <w:contextualSpacing/>
        <w:jc w:val="center"/>
        <w:rPr>
          <w:b/>
          <w:sz w:val="28"/>
          <w:szCs w:val="28"/>
          <w:lang w:eastAsia="uk-UA"/>
        </w:rPr>
      </w:pPr>
      <w:r>
        <w:rPr>
          <w:b/>
          <w:sz w:val="28"/>
          <w:szCs w:val="28"/>
          <w:lang w:eastAsia="uk-UA"/>
        </w:rPr>
        <w:t>ВСТАНОВИЛА:</w:t>
      </w:r>
    </w:p>
    <w:p w14:paraId="679F929F" w14:textId="77777777" w:rsidR="00D815E3" w:rsidRDefault="00D815E3">
      <w:pPr>
        <w:tabs>
          <w:tab w:val="left" w:pos="567"/>
        </w:tabs>
        <w:ind w:firstLine="567"/>
        <w:contextualSpacing/>
        <w:jc w:val="center"/>
        <w:rPr>
          <w:b/>
          <w:sz w:val="28"/>
          <w:szCs w:val="28"/>
          <w:lang w:eastAsia="uk-UA"/>
        </w:rPr>
      </w:pPr>
    </w:p>
    <w:p w14:paraId="6FC8BDD1" w14:textId="469D8F5E" w:rsidR="00D815E3"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скарга адвоката </w:t>
      </w:r>
      <w:r w:rsidR="003804BE">
        <w:rPr>
          <w:rFonts w:ascii="Times New Roman" w:hAnsi="Times New Roman"/>
          <w:sz w:val="28"/>
          <w:szCs w:val="28"/>
        </w:rPr>
        <w:t xml:space="preserve">ОСОБА_1 </w:t>
      </w:r>
      <w:r>
        <w:rPr>
          <w:rFonts w:ascii="Times New Roman" w:hAnsi="Times New Roman"/>
          <w:color w:val="000000" w:themeColor="text1"/>
          <w:sz w:val="28"/>
          <w:szCs w:val="28"/>
        </w:rPr>
        <w:t xml:space="preserve">про вчинення дисциплінарного проступку </w:t>
      </w:r>
      <w:r>
        <w:rPr>
          <w:rFonts w:ascii="Times New Roman" w:hAnsi="Times New Roman"/>
          <w:sz w:val="28"/>
          <w:szCs w:val="28"/>
        </w:rPr>
        <w:t>прокурором Фастівської окружної прокуратури Київської області Рудиком Р.Ю.</w:t>
      </w:r>
    </w:p>
    <w:p w14:paraId="0326F5E3" w14:textId="77777777" w:rsidR="00D815E3" w:rsidRDefault="00000000">
      <w:pPr>
        <w:pStyle w:val="aa"/>
        <w:tabs>
          <w:tab w:val="left" w:pos="567"/>
        </w:tabs>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Скарга передана члену Комісії </w:t>
      </w:r>
      <w:proofErr w:type="spellStart"/>
      <w:r>
        <w:rPr>
          <w:rFonts w:ascii="Times New Roman" w:hAnsi="Times New Roman"/>
          <w:color w:val="000000" w:themeColor="text1"/>
          <w:sz w:val="28"/>
          <w:szCs w:val="28"/>
        </w:rPr>
        <w:t>Мнишенко</w:t>
      </w:r>
      <w:proofErr w:type="spellEnd"/>
      <w:r>
        <w:rPr>
          <w:rFonts w:ascii="Times New Roman" w:hAnsi="Times New Roman"/>
          <w:color w:val="000000" w:themeColor="text1"/>
          <w:sz w:val="28"/>
          <w:szCs w:val="28"/>
        </w:rPr>
        <w:t xml:space="preserve"> Є.С. (протокол автоматичного розподілу від 27 лютого 2026 року). </w:t>
      </w:r>
    </w:p>
    <w:p w14:paraId="08B3BBCB" w14:textId="77777777" w:rsidR="00D815E3" w:rsidRDefault="00000000">
      <w:pPr>
        <w:widowControl w:val="0"/>
        <w:tabs>
          <w:tab w:val="left" w:pos="567"/>
          <w:tab w:val="left" w:pos="851"/>
        </w:tabs>
        <w:contextualSpacing/>
        <w:jc w:val="both"/>
        <w:rPr>
          <w:color w:val="000000" w:themeColor="text1"/>
          <w:sz w:val="28"/>
          <w:szCs w:val="28"/>
        </w:rPr>
      </w:pPr>
      <w:r>
        <w:rPr>
          <w:color w:val="000000" w:themeColor="text1"/>
          <w:sz w:val="28"/>
          <w:szCs w:val="28"/>
        </w:rPr>
        <w:tab/>
        <w:t xml:space="preserve">Вирішуючи питання щодо можливості відкриття дисциплінарного провадження встановлено наступне. </w:t>
      </w:r>
    </w:p>
    <w:p w14:paraId="7238024F" w14:textId="77777777" w:rsidR="00D815E3" w:rsidRDefault="00000000">
      <w:pPr>
        <w:widowControl w:val="0"/>
        <w:tabs>
          <w:tab w:val="left" w:pos="567"/>
          <w:tab w:val="left" w:pos="851"/>
        </w:tabs>
        <w:contextualSpacing/>
        <w:jc w:val="both"/>
        <w:rPr>
          <w:color w:val="000000" w:themeColor="text1"/>
          <w:sz w:val="28"/>
          <w:szCs w:val="28"/>
        </w:rPr>
      </w:pPr>
      <w:r>
        <w:rPr>
          <w:color w:val="000000" w:themeColor="text1"/>
          <w:sz w:val="28"/>
          <w:szCs w:val="28"/>
        </w:rPr>
        <w:tab/>
      </w:r>
    </w:p>
    <w:p w14:paraId="69BD7DEF" w14:textId="77777777" w:rsidR="00D815E3" w:rsidRDefault="00000000">
      <w:pPr>
        <w:widowControl w:val="0"/>
        <w:tabs>
          <w:tab w:val="left" w:pos="567"/>
          <w:tab w:val="left" w:pos="851"/>
        </w:tabs>
        <w:ind w:firstLine="567"/>
        <w:contextualSpacing/>
        <w:jc w:val="both"/>
        <w:rPr>
          <w:b/>
          <w:color w:val="000000" w:themeColor="text1"/>
          <w:sz w:val="28"/>
          <w:szCs w:val="28"/>
        </w:rPr>
      </w:pPr>
      <w:r>
        <w:rPr>
          <w:b/>
          <w:color w:val="000000" w:themeColor="text1"/>
          <w:sz w:val="28"/>
          <w:szCs w:val="28"/>
        </w:rPr>
        <w:t>Зміст скарги</w:t>
      </w:r>
    </w:p>
    <w:p w14:paraId="25952473" w14:textId="77777777" w:rsidR="00D815E3" w:rsidRDefault="00000000">
      <w:pPr>
        <w:pStyle w:val="a9"/>
        <w:spacing w:before="0" w:beforeAutospacing="0" w:after="180" w:afterAutospacing="0"/>
        <w:rPr>
          <w:rFonts w:eastAsia="Calibri"/>
          <w:color w:val="000000" w:themeColor="text1"/>
          <w:sz w:val="28"/>
          <w:szCs w:val="28"/>
          <w:lang w:eastAsia="en-US"/>
        </w:rPr>
      </w:pPr>
      <w:r>
        <w:rPr>
          <w:rFonts w:eastAsia="Calibri"/>
          <w:color w:val="000000" w:themeColor="text1"/>
          <w:sz w:val="28"/>
          <w:szCs w:val="28"/>
          <w:lang w:eastAsia="en-US"/>
        </w:rPr>
        <w:t xml:space="preserve">         </w:t>
      </w:r>
    </w:p>
    <w:p w14:paraId="65A41575" w14:textId="77777777" w:rsidR="00D815E3" w:rsidRDefault="00000000">
      <w:pPr>
        <w:widowControl w:val="0"/>
        <w:ind w:firstLine="567"/>
        <w:jc w:val="both"/>
        <w:rPr>
          <w:color w:val="000000" w:themeColor="text1"/>
          <w:sz w:val="28"/>
          <w:szCs w:val="28"/>
          <w:lang w:eastAsia="ru-RU"/>
        </w:rPr>
      </w:pPr>
      <w:r>
        <w:rPr>
          <w:color w:val="000000" w:themeColor="text1"/>
          <w:sz w:val="28"/>
          <w:szCs w:val="28"/>
          <w:shd w:val="clear" w:color="auto" w:fill="FFFFFF"/>
        </w:rPr>
        <w:t>Вивченням дисциплінарної скарги встановлено, що</w:t>
      </w:r>
      <w:r>
        <w:rPr>
          <w:bCs/>
          <w:color w:val="000000" w:themeColor="text1"/>
          <w:sz w:val="28"/>
          <w:szCs w:val="28"/>
        </w:rPr>
        <w:t>, на думку скаржника,</w:t>
      </w:r>
      <w:r>
        <w:rPr>
          <w:color w:val="000000" w:themeColor="text1"/>
          <w:sz w:val="28"/>
          <w:szCs w:val="28"/>
          <w:lang w:eastAsia="ru-RU"/>
        </w:rPr>
        <w:t xml:space="preserve"> прокурор Рудик Р.Ю.</w:t>
      </w:r>
      <w:r>
        <w:rPr>
          <w:color w:val="000000" w:themeColor="text1"/>
          <w:sz w:val="28"/>
          <w:szCs w:val="28"/>
        </w:rPr>
        <w:t xml:space="preserve"> </w:t>
      </w:r>
      <w:r>
        <w:rPr>
          <w:color w:val="000000" w:themeColor="text1"/>
          <w:sz w:val="28"/>
          <w:szCs w:val="28"/>
          <w:lang w:eastAsia="ru-RU"/>
        </w:rPr>
        <w:t>п</w:t>
      </w:r>
      <w:r>
        <w:rPr>
          <w:color w:val="000000" w:themeColor="text1"/>
          <w:sz w:val="28"/>
          <w:szCs w:val="28"/>
          <w:shd w:val="clear" w:color="auto" w:fill="FFFFFF"/>
        </w:rPr>
        <w:t xml:space="preserve">ідлягає притягненню до дисциплінарної відповідальності на підставі пунктів 1, 5 частини першої статті 43 Закону </w:t>
      </w:r>
      <w:r>
        <w:rPr>
          <w:color w:val="000000" w:themeColor="text1"/>
          <w:sz w:val="28"/>
          <w:szCs w:val="28"/>
        </w:rPr>
        <w:t xml:space="preserve">України «Про прокуратуру» </w:t>
      </w:r>
      <w:hyperlink r:id="rId8" w:anchor="506" w:tgtFrame="_blank" w:tooltip="Про прокуратуру; нормативно-правовий акт № 1697-VII від 14.10.2014" w:history="1">
        <w:r>
          <w:rPr>
            <w:rStyle w:val="a8"/>
            <w:color w:val="000000" w:themeColor="text1"/>
            <w:sz w:val="28"/>
            <w:szCs w:val="28"/>
            <w:u w:val="none"/>
          </w:rPr>
          <w:t>від 14  жовтня 2014</w:t>
        </w:r>
        <w:r>
          <w:rPr>
            <w:rStyle w:val="a8"/>
            <w:color w:val="000000" w:themeColor="text1"/>
            <w:sz w:val="28"/>
            <w:szCs w:val="28"/>
            <w:u w:val="none"/>
            <w:lang w:val="en-US"/>
          </w:rPr>
          <w:t> </w:t>
        </w:r>
        <w:r>
          <w:rPr>
            <w:rStyle w:val="a8"/>
            <w:color w:val="000000" w:themeColor="text1"/>
            <w:sz w:val="28"/>
            <w:szCs w:val="28"/>
            <w:u w:val="none"/>
          </w:rPr>
          <w:t xml:space="preserve">року </w:t>
        </w:r>
      </w:hyperlink>
      <w:r>
        <w:rPr>
          <w:color w:val="000000" w:themeColor="text1"/>
          <w:sz w:val="28"/>
          <w:szCs w:val="28"/>
        </w:rPr>
        <w:t>(далі – Закон № 1697-VII)</w:t>
      </w:r>
      <w:r>
        <w:rPr>
          <w:color w:val="000000" w:themeColor="text1"/>
          <w:sz w:val="28"/>
          <w:szCs w:val="28"/>
          <w:shd w:val="clear" w:color="auto" w:fill="FFFFFF"/>
        </w:rPr>
        <w:t>.</w:t>
      </w:r>
    </w:p>
    <w:p w14:paraId="62D826DB" w14:textId="63D18C72" w:rsidR="00D815E3" w:rsidRDefault="00000000">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Pr>
          <w:rFonts w:eastAsia="Calibri"/>
          <w:color w:val="000000" w:themeColor="text1"/>
          <w:sz w:val="28"/>
          <w:szCs w:val="28"/>
          <w:lang w:eastAsia="en-US"/>
        </w:rPr>
        <w:t>Скаржник вважає, що дії прокурора Фастівської окружної прокуратури Київської області Рудика Р.Ю., який у кримінальному провадженні № </w:t>
      </w:r>
      <w:r w:rsidR="00F542D4">
        <w:rPr>
          <w:rFonts w:eastAsia="Calibri"/>
          <w:color w:val="000000" w:themeColor="text1"/>
          <w:sz w:val="28"/>
          <w:szCs w:val="28"/>
          <w:lang w:eastAsia="en-US"/>
        </w:rPr>
        <w:t>(конфіденційна інформація)</w:t>
      </w:r>
      <w:r>
        <w:rPr>
          <w:rFonts w:eastAsia="Calibri"/>
          <w:color w:val="000000" w:themeColor="text1"/>
          <w:sz w:val="28"/>
          <w:szCs w:val="28"/>
          <w:lang w:eastAsia="en-US"/>
        </w:rPr>
        <w:t xml:space="preserve"> від 12.02.2025 за ознаками кримінального правопорушення, передбаченого ч. 1 ст. 270 КК України, здійснював процесуальне керівництво, є незаконними. Як зазначає скаржник, вказане кримінальне провадження було закрито у зв’язку з відсутністю складу кримінального правопорушення, однак прокурором Рудиком Р.Ю. зазначену постанову скасовано та кримінальне провадження направлено для подальшого досудового розслідування. </w:t>
      </w:r>
    </w:p>
    <w:p w14:paraId="19579B58" w14:textId="77777777" w:rsidR="00D815E3" w:rsidRDefault="00000000">
      <w:pPr>
        <w:pStyle w:val="a9"/>
        <w:adjustRightInd w:val="0"/>
        <w:snapToGrid w:val="0"/>
        <w:spacing w:before="0" w:beforeAutospacing="0" w:after="0" w:afterAutospacing="0"/>
        <w:ind w:firstLine="709"/>
        <w:jc w:val="both"/>
        <w:rPr>
          <w:rFonts w:eastAsia="Calibri"/>
          <w:color w:val="000000" w:themeColor="text1"/>
          <w:sz w:val="28"/>
          <w:szCs w:val="28"/>
          <w:lang w:eastAsia="en-US"/>
        </w:rPr>
      </w:pPr>
      <w:r>
        <w:rPr>
          <w:rFonts w:eastAsia="Calibri"/>
          <w:color w:val="000000" w:themeColor="text1"/>
          <w:sz w:val="28"/>
          <w:szCs w:val="28"/>
          <w:lang w:eastAsia="en-US"/>
        </w:rPr>
        <w:t xml:space="preserve">На думку скаржника, такі дії прокурора вчинені з порушенням процесуальних строків та в інтересах третіх осіб. </w:t>
      </w:r>
      <w:r>
        <w:rPr>
          <w:color w:val="000000" w:themeColor="text1"/>
          <w:sz w:val="28"/>
          <w:szCs w:val="28"/>
        </w:rPr>
        <w:t xml:space="preserve">У зв’язку з наведеним просить </w:t>
      </w:r>
      <w:r>
        <w:rPr>
          <w:color w:val="000000" w:themeColor="text1"/>
          <w:sz w:val="28"/>
          <w:szCs w:val="28"/>
        </w:rPr>
        <w:lastRenderedPageBreak/>
        <w:t>притягнути вищевказаного прокурора Рудика Р.Ю. до дисциплінарної відповідальності.</w:t>
      </w:r>
    </w:p>
    <w:p w14:paraId="50EF3524" w14:textId="77777777" w:rsidR="00D815E3" w:rsidRDefault="00D815E3">
      <w:pPr>
        <w:widowControl w:val="0"/>
        <w:tabs>
          <w:tab w:val="left" w:pos="567"/>
          <w:tab w:val="left" w:pos="851"/>
        </w:tabs>
        <w:ind w:firstLine="567"/>
        <w:contextualSpacing/>
        <w:jc w:val="both"/>
        <w:rPr>
          <w:b/>
          <w:color w:val="000000" w:themeColor="text1"/>
          <w:sz w:val="28"/>
          <w:szCs w:val="28"/>
        </w:rPr>
      </w:pPr>
    </w:p>
    <w:p w14:paraId="03D68C6F" w14:textId="77777777" w:rsidR="00D815E3" w:rsidRDefault="00000000">
      <w:pPr>
        <w:widowControl w:val="0"/>
        <w:tabs>
          <w:tab w:val="left" w:pos="567"/>
          <w:tab w:val="left" w:pos="851"/>
        </w:tabs>
        <w:ind w:firstLine="567"/>
        <w:contextualSpacing/>
        <w:jc w:val="both"/>
        <w:rPr>
          <w:b/>
          <w:color w:val="000000" w:themeColor="text1"/>
          <w:sz w:val="28"/>
          <w:szCs w:val="28"/>
        </w:rPr>
      </w:pPr>
      <w:r>
        <w:rPr>
          <w:b/>
          <w:color w:val="000000" w:themeColor="text1"/>
          <w:sz w:val="28"/>
          <w:szCs w:val="28"/>
        </w:rPr>
        <w:t>Щодо встановлених фактичних даних</w:t>
      </w:r>
    </w:p>
    <w:p w14:paraId="58D63672" w14:textId="77777777" w:rsidR="00D815E3" w:rsidRDefault="00000000">
      <w:pPr>
        <w:shd w:val="clear" w:color="auto" w:fill="FFFFFF"/>
        <w:jc w:val="both"/>
        <w:rPr>
          <w:color w:val="000000" w:themeColor="text1"/>
          <w:sz w:val="28"/>
          <w:szCs w:val="28"/>
        </w:rPr>
      </w:pPr>
      <w:r>
        <w:rPr>
          <w:color w:val="000000" w:themeColor="text1"/>
          <w:sz w:val="28"/>
          <w:szCs w:val="28"/>
        </w:rPr>
        <w:t xml:space="preserve">         </w:t>
      </w:r>
    </w:p>
    <w:p w14:paraId="2CF38F21" w14:textId="4F2E9B51" w:rsidR="00D815E3" w:rsidRDefault="00000000">
      <w:pPr>
        <w:pStyle w:val="a9"/>
        <w:spacing w:before="0" w:beforeAutospacing="0" w:after="0" w:afterAutospacing="0"/>
        <w:jc w:val="both"/>
        <w:rPr>
          <w:color w:val="000000" w:themeColor="text1"/>
          <w:sz w:val="28"/>
          <w:szCs w:val="28"/>
        </w:rPr>
      </w:pPr>
      <w:r>
        <w:rPr>
          <w:color w:val="000000" w:themeColor="text1"/>
          <w:sz w:val="28"/>
          <w:szCs w:val="28"/>
        </w:rPr>
        <w:t xml:space="preserve">         До дисциплінарної скарги долучено копії: свідоцтва про </w:t>
      </w:r>
      <w:proofErr w:type="spellStart"/>
      <w:r>
        <w:rPr>
          <w:color w:val="000000" w:themeColor="text1"/>
          <w:sz w:val="28"/>
          <w:szCs w:val="28"/>
        </w:rPr>
        <w:t>правоо</w:t>
      </w:r>
      <w:proofErr w:type="spellEnd"/>
      <w:r>
        <w:rPr>
          <w:color w:val="000000" w:themeColor="text1"/>
          <w:sz w:val="28"/>
          <w:szCs w:val="28"/>
        </w:rPr>
        <w:t xml:space="preserve"> на зайняття адвокатською діяльністю; витягу з ЄРДР у кримінальному провадженні № </w:t>
      </w:r>
      <w:r w:rsidR="00F542D4">
        <w:rPr>
          <w:rFonts w:eastAsia="Calibri"/>
          <w:color w:val="000000" w:themeColor="text1"/>
          <w:sz w:val="28"/>
          <w:szCs w:val="28"/>
          <w:lang w:eastAsia="en-US"/>
        </w:rPr>
        <w:t xml:space="preserve">(конфіденційна інформація) </w:t>
      </w:r>
      <w:r>
        <w:rPr>
          <w:color w:val="000000" w:themeColor="text1"/>
          <w:sz w:val="28"/>
          <w:szCs w:val="28"/>
        </w:rPr>
        <w:t xml:space="preserve">від 12.02.2025, постанови керівника Фастівської окружної прокуратури Київської області від 13.02.2025; постанови слідчого </w:t>
      </w:r>
      <w:proofErr w:type="spellStart"/>
      <w:r>
        <w:rPr>
          <w:color w:val="000000" w:themeColor="text1"/>
          <w:sz w:val="28"/>
          <w:szCs w:val="28"/>
        </w:rPr>
        <w:t>слідчого</w:t>
      </w:r>
      <w:proofErr w:type="spellEnd"/>
      <w:r>
        <w:rPr>
          <w:color w:val="000000" w:themeColor="text1"/>
          <w:sz w:val="28"/>
          <w:szCs w:val="28"/>
        </w:rPr>
        <w:t xml:space="preserve"> відділу Фастівського районного управління поліції ГУНП в Київській області від 24.06.2025р. про закриття кримінального провадження; постанови прокурора Фастівської окружної прокуратури Рудика Р.Ю. від 17.12.2025 про скасування постанови про закриття кримінального провадження від 24.06.2025;</w:t>
      </w:r>
    </w:p>
    <w:p w14:paraId="16C6A50E" w14:textId="77777777" w:rsidR="00D815E3" w:rsidRDefault="00000000">
      <w:pPr>
        <w:pStyle w:val="a9"/>
        <w:spacing w:before="0" w:beforeAutospacing="0" w:after="0" w:afterAutospacing="0"/>
        <w:jc w:val="both"/>
        <w:rPr>
          <w:color w:val="000000" w:themeColor="text1"/>
          <w:sz w:val="28"/>
          <w:szCs w:val="28"/>
        </w:rPr>
      </w:pPr>
      <w:r>
        <w:rPr>
          <w:color w:val="000000" w:themeColor="text1"/>
          <w:sz w:val="28"/>
          <w:szCs w:val="28"/>
        </w:rPr>
        <w:t>висновку № 32/B22.11.2024; висновку експерта; відповідь з Генеральної прокуратури; відповіді Київської обласної прокуратури.</w:t>
      </w:r>
    </w:p>
    <w:p w14:paraId="5DB6C92D" w14:textId="77777777" w:rsidR="00D815E3" w:rsidRDefault="00D815E3">
      <w:pPr>
        <w:shd w:val="clear" w:color="auto" w:fill="FFFFFF"/>
        <w:jc w:val="both"/>
        <w:rPr>
          <w:color w:val="000000" w:themeColor="text1"/>
          <w:sz w:val="28"/>
          <w:szCs w:val="28"/>
        </w:rPr>
      </w:pPr>
    </w:p>
    <w:p w14:paraId="48509AF0" w14:textId="77777777" w:rsidR="00D815E3" w:rsidRDefault="00000000">
      <w:pPr>
        <w:widowControl w:val="0"/>
        <w:tabs>
          <w:tab w:val="left" w:pos="567"/>
          <w:tab w:val="left" w:pos="851"/>
        </w:tabs>
        <w:ind w:firstLine="567"/>
        <w:contextualSpacing/>
        <w:jc w:val="both"/>
        <w:rPr>
          <w:b/>
          <w:color w:val="000000" w:themeColor="text1"/>
          <w:sz w:val="28"/>
          <w:szCs w:val="28"/>
        </w:rPr>
      </w:pPr>
      <w:r>
        <w:rPr>
          <w:b/>
          <w:bCs/>
          <w:color w:val="000000" w:themeColor="text1"/>
          <w:sz w:val="28"/>
          <w:szCs w:val="28"/>
        </w:rPr>
        <w:t>Щ</w:t>
      </w:r>
      <w:r>
        <w:rPr>
          <w:b/>
          <w:color w:val="000000" w:themeColor="text1"/>
          <w:sz w:val="28"/>
          <w:szCs w:val="28"/>
        </w:rPr>
        <w:t>одо джерел права, які підлягають застосуванню</w:t>
      </w:r>
    </w:p>
    <w:p w14:paraId="5754CFFD" w14:textId="77777777" w:rsidR="00D815E3" w:rsidRDefault="00D815E3">
      <w:pPr>
        <w:widowControl w:val="0"/>
        <w:tabs>
          <w:tab w:val="left" w:pos="851"/>
        </w:tabs>
        <w:ind w:firstLine="567"/>
        <w:contextualSpacing/>
        <w:jc w:val="both"/>
        <w:rPr>
          <w:color w:val="000000" w:themeColor="text1"/>
          <w:sz w:val="28"/>
          <w:szCs w:val="28"/>
        </w:rPr>
      </w:pPr>
    </w:p>
    <w:p w14:paraId="6BBBFED7"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Pr>
          <w:color w:val="000000" w:themeColor="text1"/>
          <w:sz w:val="28"/>
          <w:szCs w:val="28"/>
        </w:rPr>
        <w:noBreakHyphen/>
        <w:t>VII (далі – Закон № 1697</w:t>
      </w:r>
      <w:r>
        <w:rPr>
          <w:color w:val="000000" w:themeColor="text1"/>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262C6775"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Зі змісту частини другої статті 16 Закону № 1697</w:t>
      </w:r>
      <w:r>
        <w:rPr>
          <w:color w:val="000000" w:themeColor="text1"/>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089B5F8"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 xml:space="preserve">За загальним правилом, наведеним у частині першій статті 36 </w:t>
      </w:r>
      <w:bookmarkStart w:id="0" w:name="_Hlk211245207"/>
      <w:r>
        <w:rPr>
          <w:color w:val="000000" w:themeColor="text1"/>
          <w:sz w:val="28"/>
          <w:szCs w:val="28"/>
        </w:rPr>
        <w:t xml:space="preserve">КПК України, </w:t>
      </w:r>
      <w:bookmarkEnd w:id="0"/>
      <w:r>
        <w:rPr>
          <w:color w:val="000000" w:themeColor="text1"/>
          <w:sz w:val="28"/>
          <w:szCs w:val="28"/>
        </w:rPr>
        <w:t>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0E16A2FE" w14:textId="77777777" w:rsidR="00D815E3" w:rsidRDefault="00000000">
      <w:pPr>
        <w:widowControl w:val="0"/>
        <w:tabs>
          <w:tab w:val="left" w:pos="851"/>
        </w:tabs>
        <w:ind w:firstLine="567"/>
        <w:contextualSpacing/>
        <w:jc w:val="both"/>
        <w:rPr>
          <w:color w:val="000000" w:themeColor="text1"/>
          <w:sz w:val="28"/>
          <w:szCs w:val="28"/>
        </w:rPr>
      </w:pPr>
      <w:bookmarkStart w:id="1" w:name="n2188"/>
      <w:bookmarkEnd w:id="1"/>
      <w:r>
        <w:rPr>
          <w:color w:val="000000" w:themeColor="text1"/>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Pr>
          <w:color w:val="000000" w:themeColor="text1"/>
          <w:sz w:val="28"/>
          <w:szCs w:val="28"/>
        </w:rPr>
        <w:noBreakHyphen/>
        <w:t xml:space="preserve">VII. </w:t>
      </w:r>
    </w:p>
    <w:p w14:paraId="1577B115"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BD13F0F"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Визначення дисциплінарного провадження наведено у частині першій статті 45 Закону № 1697</w:t>
      </w:r>
      <w:r>
        <w:rPr>
          <w:color w:val="000000" w:themeColor="text1"/>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w:t>
      </w:r>
      <w:r>
        <w:rPr>
          <w:color w:val="000000" w:themeColor="text1"/>
          <w:sz w:val="28"/>
          <w:szCs w:val="28"/>
        </w:rPr>
        <w:lastRenderedPageBreak/>
        <w:t xml:space="preserve">проступку. </w:t>
      </w:r>
    </w:p>
    <w:p w14:paraId="156CE06B" w14:textId="77777777" w:rsidR="00D815E3" w:rsidRDefault="00000000">
      <w:pPr>
        <w:pStyle w:val="aa"/>
        <w:ind w:firstLine="567"/>
        <w:jc w:val="both"/>
        <w:rPr>
          <w:rFonts w:ascii="Times New Roman" w:hAnsi="Times New Roman"/>
          <w:color w:val="000000" w:themeColor="text1"/>
          <w:sz w:val="28"/>
          <w:szCs w:val="28"/>
        </w:rPr>
      </w:pPr>
      <w:r>
        <w:rPr>
          <w:rStyle w:val="rvts9"/>
          <w:rFonts w:ascii="Times New Roman" w:hAnsi="Times New Roman"/>
          <w:bCs/>
          <w:color w:val="000000" w:themeColor="text1"/>
          <w:sz w:val="28"/>
          <w:szCs w:val="28"/>
        </w:rPr>
        <w:t xml:space="preserve">Частиною першою статті 43 </w:t>
      </w:r>
      <w:r>
        <w:rPr>
          <w:rFonts w:ascii="Times New Roman" w:hAnsi="Times New Roman"/>
          <w:color w:val="000000" w:themeColor="text1"/>
          <w:sz w:val="28"/>
          <w:szCs w:val="28"/>
        </w:rPr>
        <w:t>Закону № 1697</w:t>
      </w:r>
      <w:r>
        <w:rPr>
          <w:rFonts w:ascii="Times New Roman" w:hAnsi="Times New Roman"/>
          <w:color w:val="000000" w:themeColor="text1"/>
          <w:sz w:val="28"/>
          <w:szCs w:val="28"/>
        </w:rPr>
        <w:noBreakHyphen/>
        <w:t xml:space="preserve">VII визначено, що </w:t>
      </w:r>
      <w:r>
        <w:rPr>
          <w:rStyle w:val="rvts9"/>
          <w:rFonts w:ascii="Times New Roman" w:hAnsi="Times New Roman"/>
          <w:bCs/>
          <w:color w:val="000000" w:themeColor="text1"/>
          <w:sz w:val="28"/>
          <w:szCs w:val="28"/>
        </w:rPr>
        <w:t xml:space="preserve"> </w:t>
      </w:r>
      <w:r>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0CEA24AB"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Юридична конструкція статті 46 Закону № 1697</w:t>
      </w:r>
      <w:r>
        <w:rPr>
          <w:rFonts w:ascii="Times New Roman" w:hAnsi="Times New Roman"/>
          <w:color w:val="000000" w:themeColor="text1"/>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D8D65A7"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4816D9F"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 дисциплінарна скарга є анонімною;</w:t>
      </w:r>
    </w:p>
    <w:p w14:paraId="745717D8"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дисциплінарна скарга подана з підстав, не визначених </w:t>
      </w:r>
      <w:hyperlink r:id="rId9" w:anchor="n416" w:history="1">
        <w:r>
          <w:rPr>
            <w:rStyle w:val="a8"/>
            <w:rFonts w:ascii="Times New Roman" w:hAnsi="Times New Roman"/>
            <w:color w:val="000000" w:themeColor="text1"/>
            <w:sz w:val="28"/>
            <w:szCs w:val="28"/>
            <w:u w:val="none"/>
          </w:rPr>
          <w:t>статтею 43</w:t>
        </w:r>
      </w:hyperlink>
      <w:r>
        <w:rPr>
          <w:rFonts w:ascii="Times New Roman" w:hAnsi="Times New Roman"/>
          <w:color w:val="000000" w:themeColor="text1"/>
          <w:sz w:val="28"/>
          <w:szCs w:val="28"/>
        </w:rPr>
        <w:t> цього Закону;</w:t>
      </w:r>
    </w:p>
    <w:p w14:paraId="4C3AA451"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Pr>
            <w:rStyle w:val="a8"/>
            <w:rFonts w:ascii="Times New Roman" w:hAnsi="Times New Roman"/>
            <w:color w:val="000000" w:themeColor="text1"/>
            <w:sz w:val="28"/>
            <w:szCs w:val="28"/>
            <w:u w:val="none"/>
          </w:rPr>
          <w:t> статтею 51</w:t>
        </w:r>
      </w:hyperlink>
      <w:r>
        <w:rPr>
          <w:rFonts w:ascii="Times New Roman" w:hAnsi="Times New Roman"/>
          <w:color w:val="000000" w:themeColor="text1"/>
          <w:sz w:val="28"/>
          <w:szCs w:val="28"/>
        </w:rPr>
        <w:t> цього Закону;</w:t>
      </w:r>
    </w:p>
    <w:p w14:paraId="00BE922B" w14:textId="77777777" w:rsidR="00D815E3" w:rsidRDefault="00000000">
      <w:pPr>
        <w:pStyle w:val="aa"/>
        <w:widowControl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29FA2DD3" w14:textId="77777777" w:rsidR="00D815E3" w:rsidRDefault="00000000">
      <w:pPr>
        <w:pStyle w:val="aa"/>
        <w:widowControl w:val="0"/>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DBCC5F3" w14:textId="77777777" w:rsidR="00D815E3" w:rsidRDefault="00000000">
      <w:pPr>
        <w:pStyle w:val="aa"/>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w:t>
      </w:r>
      <w:r>
        <w:rPr>
          <w:rFonts w:ascii="Times New Roman" w:hAnsi="Times New Roman"/>
          <w:color w:val="000000" w:themeColor="text1"/>
          <w:sz w:val="28"/>
          <w:szCs w:val="28"/>
        </w:rPr>
        <w:lastRenderedPageBreak/>
        <w:t>наслідками, а також час і місце діяння. Суб’єктивну сторону дисциплінарного проступку характеризує вина.</w:t>
      </w:r>
    </w:p>
    <w:p w14:paraId="4E02FFDD" w14:textId="77777777" w:rsidR="00D815E3" w:rsidRDefault="00D815E3">
      <w:pPr>
        <w:pStyle w:val="rvps2"/>
        <w:shd w:val="clear" w:color="auto" w:fill="FFFFFF"/>
        <w:spacing w:before="0" w:beforeAutospacing="0" w:after="0" w:afterAutospacing="0"/>
        <w:ind w:firstLine="567"/>
        <w:jc w:val="both"/>
        <w:rPr>
          <w:b/>
          <w:color w:val="000000" w:themeColor="text1"/>
          <w:sz w:val="28"/>
          <w:szCs w:val="28"/>
          <w:lang w:val="uk-UA"/>
        </w:rPr>
      </w:pPr>
    </w:p>
    <w:p w14:paraId="641E97D3" w14:textId="77777777" w:rsidR="00D815E3" w:rsidRDefault="00000000">
      <w:pPr>
        <w:pStyle w:val="rvps2"/>
        <w:shd w:val="clear" w:color="auto" w:fill="FFFFFF"/>
        <w:spacing w:before="0" w:beforeAutospacing="0" w:after="0" w:afterAutospacing="0"/>
        <w:ind w:firstLine="567"/>
        <w:jc w:val="both"/>
        <w:rPr>
          <w:b/>
          <w:color w:val="000000" w:themeColor="text1"/>
          <w:sz w:val="28"/>
          <w:szCs w:val="28"/>
          <w:lang w:val="uk-UA"/>
        </w:rPr>
      </w:pPr>
      <w:r>
        <w:rPr>
          <w:b/>
          <w:color w:val="000000" w:themeColor="text1"/>
          <w:sz w:val="28"/>
          <w:szCs w:val="28"/>
          <w:lang w:val="uk-UA"/>
        </w:rPr>
        <w:t>Оцінка встановлених обставин та мотиви прийнятого рішення</w:t>
      </w:r>
    </w:p>
    <w:p w14:paraId="04B371FE" w14:textId="77777777" w:rsidR="00D815E3" w:rsidRDefault="00000000">
      <w:pPr>
        <w:tabs>
          <w:tab w:val="left" w:pos="567"/>
        </w:tabs>
        <w:jc w:val="both"/>
        <w:rPr>
          <w:color w:val="000000" w:themeColor="text1"/>
          <w:sz w:val="28"/>
          <w:szCs w:val="28"/>
        </w:rPr>
      </w:pPr>
      <w:r>
        <w:rPr>
          <w:color w:val="000000" w:themeColor="text1"/>
          <w:sz w:val="28"/>
          <w:szCs w:val="28"/>
        </w:rPr>
        <w:tab/>
      </w:r>
    </w:p>
    <w:p w14:paraId="7328C5CF" w14:textId="6A560337" w:rsidR="00D815E3" w:rsidRDefault="00000000">
      <w:pPr>
        <w:tabs>
          <w:tab w:val="left" w:pos="567"/>
        </w:tabs>
        <w:jc w:val="both"/>
        <w:rPr>
          <w:color w:val="000000" w:themeColor="text1"/>
          <w:sz w:val="28"/>
          <w:szCs w:val="28"/>
        </w:rPr>
      </w:pPr>
      <w:r>
        <w:rPr>
          <w:color w:val="000000" w:themeColor="text1"/>
          <w:sz w:val="28"/>
          <w:szCs w:val="28"/>
        </w:rPr>
        <w:t xml:space="preserve">          Дисциплінарна скарга </w:t>
      </w:r>
      <w:r w:rsidR="003804BE">
        <w:rPr>
          <w:sz w:val="28"/>
          <w:szCs w:val="28"/>
        </w:rPr>
        <w:t xml:space="preserve">ОСОБА_1 </w:t>
      </w:r>
      <w:r>
        <w:rPr>
          <w:color w:val="000000" w:themeColor="text1"/>
          <w:sz w:val="28"/>
          <w:szCs w:val="28"/>
        </w:rPr>
        <w:t>стосується рішень, дій (бездіяльності) прокурора, вчинених (допущених) в межах кримінального процесу.</w:t>
      </w:r>
    </w:p>
    <w:p w14:paraId="7E397A4D"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Дисциплінарному проступку, як і будь-якому правопорушенню, притаманна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7E15CF95"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висновок про імовірність наявності зазначених вище ознак дисциплінарного проступку у рішеннях, діях чи бездіяльності конкретного прокурора. </w:t>
      </w:r>
    </w:p>
    <w:p w14:paraId="25C991D3"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14:paraId="40EC0785"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Умовою для відкриття дисциплінарного провадження за обставин, викладених у дисциплінарній скарзі, має бути перш за все факт порушення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14:paraId="39E9582D"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7E88E8A"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14:paraId="3FB115F4"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Судових рішень чи рішень прокурора вищого рівня про визнання неправомірними дій прокурора Рудика Р.Ю. до скарги не долучено. Відсутнє й відповідне звернення суду до органу, що здійснює дисциплінарне провадження, у передбаченому КПК України порядку.</w:t>
      </w:r>
    </w:p>
    <w:p w14:paraId="07A418F8"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lastRenderedPageBreak/>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статті 43 Закону № 1697-VII, у службовій чи позаслужбовій поведінці зазначеного в ній прокурора.</w:t>
      </w:r>
    </w:p>
    <w:p w14:paraId="3D5EA814"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Рудика Р.Ю. </w:t>
      </w:r>
    </w:p>
    <w:p w14:paraId="7362D3C4"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До скарги не долучено жодного процесуального рішення, інших документів чи матеріалів, які б дозволяли встановити факти порушення прокурором прав осіб чи вимог закону під час виконання ним службових повноважень.</w:t>
      </w:r>
    </w:p>
    <w:p w14:paraId="3162F180"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За таких обставин неможливо встановити, що окремі рішення, дії чи бездіяльність прокурора Рудика Р.Ю.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14:paraId="3BD79989"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5929F509"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bookmarkStart w:id="2" w:name="_Hlk211328971"/>
    </w:p>
    <w:p w14:paraId="39AA330F" w14:textId="77777777" w:rsidR="00D815E3" w:rsidRDefault="00000000">
      <w:pPr>
        <w:widowControl w:val="0"/>
        <w:pBdr>
          <w:bottom w:val="single" w:sz="12" w:space="12" w:color="FFFFFF"/>
        </w:pBdr>
        <w:ind w:right="-284" w:firstLine="708"/>
        <w:jc w:val="both"/>
        <w:rPr>
          <w:sz w:val="28"/>
          <w:szCs w:val="28"/>
          <w:lang w:eastAsia="ru-RU"/>
        </w:rPr>
      </w:pPr>
      <w:r>
        <w:rPr>
          <w:color w:val="000000" w:themeColor="text1"/>
          <w:sz w:val="28"/>
          <w:szCs w:val="28"/>
        </w:rPr>
        <w:t xml:space="preserve">Водночас дисциплінарна скарга не містить конкретизованих даних про неналежне виконання прокурором </w:t>
      </w:r>
      <w:r>
        <w:rPr>
          <w:sz w:val="28"/>
          <w:szCs w:val="28"/>
          <w:lang w:eastAsia="ru-RU"/>
        </w:rPr>
        <w:t xml:space="preserve">Рудиком Р.Ю. </w:t>
      </w:r>
      <w:r>
        <w:rPr>
          <w:color w:val="000000" w:themeColor="text1"/>
          <w:sz w:val="28"/>
          <w:szCs w:val="28"/>
        </w:rPr>
        <w:t xml:space="preserve">своїх службових обов’язків. </w:t>
      </w:r>
      <w:bookmarkEnd w:id="2"/>
      <w:r>
        <w:rPr>
          <w:sz w:val="28"/>
          <w:szCs w:val="28"/>
          <w:lang w:eastAsia="ru-RU"/>
        </w:rPr>
        <w:t xml:space="preserve">           </w:t>
      </w:r>
    </w:p>
    <w:p w14:paraId="5175A9A7" w14:textId="77777777" w:rsidR="00D815E3" w:rsidRDefault="00000000">
      <w:pPr>
        <w:widowControl w:val="0"/>
        <w:pBdr>
          <w:bottom w:val="single" w:sz="12" w:space="12" w:color="FFFFFF"/>
        </w:pBdr>
        <w:ind w:right="-284" w:firstLine="708"/>
        <w:jc w:val="both"/>
        <w:rPr>
          <w:sz w:val="28"/>
          <w:szCs w:val="28"/>
          <w:lang w:eastAsia="ru-RU"/>
        </w:rPr>
      </w:pPr>
      <w:r>
        <w:rPr>
          <w:color w:val="000000" w:themeColor="text1"/>
          <w:sz w:val="28"/>
          <w:szCs w:val="28"/>
        </w:rPr>
        <w:t>Скаржником також не надано письмових підтверджень оскарження його дій (бездіяльності) на стадії досудового розслідування в порядку статей 303 – 307 КПК України в межах кримінального процесу.</w:t>
      </w:r>
    </w:p>
    <w:p w14:paraId="29FA5864"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Незгода особи із рішеннями (діями) прокурора не може автоматично мати наслідком його дисциплінарну відповідальність. </w:t>
      </w:r>
    </w:p>
    <w:p w14:paraId="041DBD50" w14:textId="77777777" w:rsidR="00D815E3" w:rsidRDefault="00000000">
      <w:pPr>
        <w:widowControl w:val="0"/>
        <w:pBdr>
          <w:bottom w:val="single" w:sz="12" w:space="12" w:color="FFFFFF"/>
        </w:pBdr>
        <w:ind w:right="-284" w:firstLine="708"/>
        <w:jc w:val="both"/>
        <w:rPr>
          <w:color w:val="000000" w:themeColor="text1"/>
          <w:sz w:val="28"/>
          <w:szCs w:val="28"/>
        </w:rPr>
      </w:pPr>
      <w:r>
        <w:rPr>
          <w:color w:val="000000" w:themeColor="text1"/>
          <w:sz w:val="28"/>
          <w:szCs w:val="28"/>
          <w:shd w:val="clear" w:color="auto" w:fill="FFFFFF"/>
        </w:rPr>
        <w:t xml:space="preserve">Прокурор в силу вимог частини першої статті 36 КПК України, </w:t>
      </w:r>
      <w:r>
        <w:rPr>
          <w:color w:val="000000" w:themeColor="text1"/>
          <w:sz w:val="28"/>
          <w:szCs w:val="28"/>
        </w:rPr>
        <w:t>відстоюючи свої правові позиції</w:t>
      </w:r>
      <w:r>
        <w:rPr>
          <w:color w:val="000000" w:themeColor="text1"/>
          <w:sz w:val="28"/>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w:t>
      </w:r>
      <w:r>
        <w:rPr>
          <w:color w:val="000000" w:themeColor="text1"/>
          <w:sz w:val="28"/>
          <w:szCs w:val="28"/>
        </w:rPr>
        <w:t>Зазначене забезпечує засади рівності та змагальності сторін кримінального провадження.</w:t>
      </w:r>
    </w:p>
    <w:p w14:paraId="03F45665" w14:textId="77777777" w:rsidR="00D815E3" w:rsidRDefault="00000000">
      <w:pPr>
        <w:widowControl w:val="0"/>
        <w:pBdr>
          <w:bottom w:val="single" w:sz="12" w:space="12" w:color="FFFFFF"/>
        </w:pBdr>
        <w:ind w:right="-284" w:firstLine="708"/>
        <w:jc w:val="both"/>
        <w:rPr>
          <w:color w:val="000000" w:themeColor="text1"/>
          <w:sz w:val="28"/>
          <w:szCs w:val="28"/>
        </w:rPr>
      </w:pPr>
      <w:r>
        <w:rPr>
          <w:color w:val="000000" w:themeColor="text1"/>
          <w:sz w:val="28"/>
          <w:szCs w:val="28"/>
        </w:rPr>
        <w:t xml:space="preserve">Разом із тим, з матеріалів, наданих у межах дисциплінарної скарги, не вбачається достатніх, належних та допустимих доказів того, що прокурор, приймаючи рішення про скасування постанови слідчого, діяв поза межами наданих </w:t>
      </w:r>
      <w:r>
        <w:rPr>
          <w:color w:val="000000" w:themeColor="text1"/>
          <w:sz w:val="28"/>
          <w:szCs w:val="28"/>
        </w:rPr>
        <w:lastRenderedPageBreak/>
        <w:t>йому повноважень, умисно всупереч інтересам служби або в умовах реального чи потенційного конфлікту інтересів.</w:t>
      </w:r>
    </w:p>
    <w:p w14:paraId="4FA31A3C" w14:textId="77777777" w:rsidR="00D815E3" w:rsidRDefault="00000000">
      <w:pPr>
        <w:widowControl w:val="0"/>
        <w:pBdr>
          <w:bottom w:val="single" w:sz="12" w:space="12" w:color="FFFFFF"/>
        </w:pBdr>
        <w:ind w:right="-284"/>
        <w:jc w:val="both"/>
        <w:rPr>
          <w:sz w:val="28"/>
          <w:szCs w:val="28"/>
          <w:lang w:eastAsia="ru-RU"/>
        </w:rPr>
      </w:pPr>
      <w:r>
        <w:rPr>
          <w:sz w:val="28"/>
          <w:szCs w:val="28"/>
          <w:lang w:eastAsia="ru-RU"/>
        </w:rPr>
        <w:t xml:space="preserve">          Із наведених скаржником доводів не вбачається, що прокурором </w:t>
      </w:r>
      <w:bookmarkStart w:id="3" w:name="_Hlk212718766"/>
      <w:r>
        <w:rPr>
          <w:sz w:val="28"/>
          <w:szCs w:val="28"/>
          <w:lang w:eastAsia="ru-RU"/>
        </w:rPr>
        <w:t xml:space="preserve">Рудиком Р.Ю. </w:t>
      </w:r>
      <w:bookmarkEnd w:id="3"/>
      <w:r>
        <w:rPr>
          <w:sz w:val="28"/>
          <w:szCs w:val="28"/>
          <w:lang w:eastAsia="ru-RU"/>
        </w:rPr>
        <w:t>умисно чи внаслідок недбалості допущено порушення норм  законодавства.</w:t>
      </w:r>
    </w:p>
    <w:p w14:paraId="3F325CD1"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Таким чином, зважаючи на викладене, твердження скаржника про невиконання чи неналежне виконання службових обов’язків прокурором Рудиком Р.Ю. є припущенням.</w:t>
      </w:r>
    </w:p>
    <w:p w14:paraId="0A1FA2C8"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Дисциплінарна скарга також не містить даних, які б свідчили про вчинення цими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7AB498DC"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Питання кримінальної відповідальності відповідно до вимог статті 77 Закону № 1697-VII не належать до компетенції Комісії, тому розгляду не підлягає.</w:t>
      </w:r>
    </w:p>
    <w:p w14:paraId="7D5937B0"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14:paraId="62BA603C"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 xml:space="preserve">Член Комісії при вирішенні питання про відкриття дисциплінарного провадження не наділена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 </w:t>
      </w:r>
    </w:p>
    <w:p w14:paraId="230ABD08" w14:textId="77777777" w:rsidR="00D815E3" w:rsidRDefault="00000000">
      <w:pPr>
        <w:widowControl w:val="0"/>
        <w:pBdr>
          <w:bottom w:val="single" w:sz="12" w:space="12" w:color="FFFFFF"/>
        </w:pBdr>
        <w:ind w:right="-284" w:firstLine="708"/>
        <w:jc w:val="both"/>
        <w:rPr>
          <w:sz w:val="28"/>
          <w:szCs w:val="28"/>
          <w:lang w:eastAsia="ru-RU"/>
        </w:rPr>
      </w:pPr>
      <w:r>
        <w:rPr>
          <w:sz w:val="28"/>
          <w:szCs w:val="28"/>
          <w:lang w:eastAsia="ru-RU"/>
        </w:rPr>
        <w:t>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Рудика Р.Ю., тому приходжу до висновку про необхідність відмови у відкритті дисциплінарного провадження.</w:t>
      </w:r>
    </w:p>
    <w:p w14:paraId="6E02B093" w14:textId="77777777" w:rsidR="00D815E3" w:rsidRDefault="00000000">
      <w:pPr>
        <w:widowControl w:val="0"/>
        <w:pBdr>
          <w:bottom w:val="single" w:sz="12" w:space="12" w:color="FFFFFF"/>
        </w:pBdr>
        <w:ind w:right="-284" w:firstLine="708"/>
        <w:jc w:val="both"/>
        <w:rPr>
          <w:sz w:val="28"/>
          <w:szCs w:val="28"/>
          <w:lang w:eastAsia="ru-RU"/>
        </w:rPr>
      </w:pPr>
      <w:r>
        <w:rPr>
          <w:sz w:val="28"/>
          <w:szCs w:val="28"/>
        </w:rPr>
        <w:t>Керуючись статтями 44 – 46  Закону № 1697</w:t>
      </w:r>
      <w:r>
        <w:rPr>
          <w:sz w:val="28"/>
          <w:szCs w:val="28"/>
        </w:rPr>
        <w:noBreakHyphen/>
        <w:t xml:space="preserve">VII, пунктами 28, 98 Положення про порядок роботи відповідного органу, що здійснює дисциплінарне провадження, </w:t>
      </w:r>
    </w:p>
    <w:p w14:paraId="783CDAFB" w14:textId="77777777" w:rsidR="00D815E3" w:rsidRDefault="00000000">
      <w:pPr>
        <w:widowControl w:val="0"/>
        <w:tabs>
          <w:tab w:val="left" w:pos="851"/>
        </w:tabs>
        <w:spacing w:after="240"/>
        <w:ind w:firstLine="567"/>
        <w:contextualSpacing/>
        <w:jc w:val="center"/>
        <w:rPr>
          <w:b/>
          <w:sz w:val="28"/>
          <w:szCs w:val="28"/>
        </w:rPr>
      </w:pPr>
      <w:r>
        <w:rPr>
          <w:b/>
          <w:sz w:val="28"/>
          <w:szCs w:val="28"/>
        </w:rPr>
        <w:t>ВИРІШИЛА:</w:t>
      </w:r>
    </w:p>
    <w:p w14:paraId="51A9B875" w14:textId="77777777" w:rsidR="00D815E3" w:rsidRDefault="00D815E3">
      <w:pPr>
        <w:widowControl w:val="0"/>
        <w:tabs>
          <w:tab w:val="left" w:pos="851"/>
        </w:tabs>
        <w:spacing w:after="240"/>
        <w:ind w:firstLine="567"/>
        <w:contextualSpacing/>
        <w:jc w:val="center"/>
        <w:rPr>
          <w:b/>
          <w:sz w:val="12"/>
          <w:szCs w:val="12"/>
        </w:rPr>
      </w:pPr>
    </w:p>
    <w:p w14:paraId="77164248"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Відмовити у відкритті дисциплінарного провадження стосовно</w:t>
      </w:r>
      <w:r>
        <w:rPr>
          <w:sz w:val="28"/>
          <w:szCs w:val="28"/>
        </w:rPr>
        <w:t xml:space="preserve"> прокурора Фастівської окружної прокуратури Київської області </w:t>
      </w:r>
      <w:r>
        <w:rPr>
          <w:sz w:val="28"/>
          <w:szCs w:val="28"/>
          <w:lang w:eastAsia="ru-RU"/>
        </w:rPr>
        <w:t xml:space="preserve">Рудика Р.Ю. </w:t>
      </w:r>
    </w:p>
    <w:p w14:paraId="2BF9C5EF" w14:textId="77777777" w:rsidR="00D815E3" w:rsidRDefault="00000000">
      <w:pPr>
        <w:widowControl w:val="0"/>
        <w:tabs>
          <w:tab w:val="left" w:pos="851"/>
        </w:tabs>
        <w:ind w:firstLine="567"/>
        <w:contextualSpacing/>
        <w:jc w:val="both"/>
        <w:rPr>
          <w:color w:val="000000" w:themeColor="text1"/>
          <w:sz w:val="28"/>
          <w:szCs w:val="28"/>
        </w:rPr>
      </w:pPr>
      <w:r>
        <w:rPr>
          <w:color w:val="000000" w:themeColor="text1"/>
          <w:sz w:val="28"/>
          <w:szCs w:val="28"/>
        </w:rPr>
        <w:t>Копію рішення направити скаржнику та вищезгаданому прокурору.</w:t>
      </w:r>
    </w:p>
    <w:p w14:paraId="282B2C61" w14:textId="77777777" w:rsidR="00D815E3" w:rsidRDefault="00D815E3">
      <w:pPr>
        <w:widowControl w:val="0"/>
        <w:tabs>
          <w:tab w:val="left" w:pos="851"/>
        </w:tabs>
        <w:contextualSpacing/>
        <w:jc w:val="both"/>
      </w:pPr>
    </w:p>
    <w:p w14:paraId="1B5254D1" w14:textId="77777777" w:rsidR="00D815E3" w:rsidRDefault="00D815E3">
      <w:pPr>
        <w:widowControl w:val="0"/>
        <w:tabs>
          <w:tab w:val="left" w:pos="851"/>
        </w:tabs>
        <w:contextualSpacing/>
        <w:jc w:val="both"/>
      </w:pPr>
    </w:p>
    <w:p w14:paraId="408C85A8" w14:textId="77777777" w:rsidR="00D815E3" w:rsidRDefault="00000000">
      <w:pPr>
        <w:widowControl w:val="0"/>
        <w:tabs>
          <w:tab w:val="left" w:pos="851"/>
        </w:tabs>
        <w:contextualSpacing/>
        <w:jc w:val="both"/>
      </w:pPr>
      <w:r>
        <w:rPr>
          <w:b/>
          <w:sz w:val="28"/>
          <w:szCs w:val="28"/>
        </w:rPr>
        <w:t>Член Комісії</w:t>
      </w:r>
      <w:r>
        <w:rPr>
          <w:b/>
          <w:sz w:val="28"/>
          <w:szCs w:val="28"/>
        </w:rPr>
        <w:tab/>
      </w:r>
      <w:r>
        <w:rPr>
          <w:b/>
          <w:sz w:val="28"/>
          <w:szCs w:val="28"/>
        </w:rPr>
        <w:tab/>
        <w:t xml:space="preserve">         </w:t>
      </w:r>
      <w:r>
        <w:rPr>
          <w:b/>
          <w:sz w:val="28"/>
          <w:szCs w:val="28"/>
        </w:rPr>
        <w:tab/>
        <w:t xml:space="preserve">          </w:t>
      </w:r>
      <w:r>
        <w:rPr>
          <w:b/>
          <w:sz w:val="28"/>
          <w:szCs w:val="28"/>
        </w:rPr>
        <w:tab/>
      </w:r>
      <w:r>
        <w:rPr>
          <w:b/>
          <w:sz w:val="28"/>
          <w:szCs w:val="28"/>
        </w:rPr>
        <w:tab/>
      </w:r>
      <w:r>
        <w:rPr>
          <w:b/>
          <w:sz w:val="28"/>
          <w:szCs w:val="28"/>
        </w:rPr>
        <w:tab/>
        <w:t xml:space="preserve">               Євгенія МНИШЕНКО</w:t>
      </w:r>
    </w:p>
    <w:sectPr w:rsidR="00D815E3">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A285D" w14:textId="77777777" w:rsidR="00A31B8A" w:rsidRDefault="00A31B8A">
      <w:r>
        <w:separator/>
      </w:r>
    </w:p>
  </w:endnote>
  <w:endnote w:type="continuationSeparator" w:id="0">
    <w:p w14:paraId="01D51DAD" w14:textId="77777777" w:rsidR="00A31B8A" w:rsidRDefault="00A31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18B0" w14:textId="77777777" w:rsidR="00A31B8A" w:rsidRDefault="00A31B8A">
      <w:r>
        <w:separator/>
      </w:r>
    </w:p>
  </w:footnote>
  <w:footnote w:type="continuationSeparator" w:id="0">
    <w:p w14:paraId="68B35C6B" w14:textId="77777777" w:rsidR="00A31B8A" w:rsidRDefault="00A31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sdtPr>
    <w:sdtContent>
      <w:p w14:paraId="4C9C6CAC" w14:textId="77777777" w:rsidR="00D815E3" w:rsidRDefault="00000000">
        <w:pPr>
          <w:pStyle w:val="a6"/>
          <w:jc w:val="center"/>
        </w:pPr>
        <w:r>
          <w:fldChar w:fldCharType="begin"/>
        </w:r>
        <w:r>
          <w:instrText>PAGE   \* MERGEFORMAT</w:instrText>
        </w:r>
        <w:r>
          <w:fldChar w:fldCharType="separate"/>
        </w:r>
        <w:r>
          <w:t>5</w:t>
        </w:r>
        <w:r>
          <w:fldChar w:fldCharType="end"/>
        </w:r>
      </w:p>
    </w:sdtContent>
  </w:sdt>
  <w:p w14:paraId="2801ED7C" w14:textId="77777777" w:rsidR="00D815E3" w:rsidRDefault="00D815E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05CC3"/>
    <w:rsid w:val="0000753D"/>
    <w:rsid w:val="0003652B"/>
    <w:rsid w:val="00042A08"/>
    <w:rsid w:val="00042B7D"/>
    <w:rsid w:val="00042CEA"/>
    <w:rsid w:val="0005367E"/>
    <w:rsid w:val="000556CC"/>
    <w:rsid w:val="00072013"/>
    <w:rsid w:val="0008253E"/>
    <w:rsid w:val="000825C3"/>
    <w:rsid w:val="000A11DE"/>
    <w:rsid w:val="000A6CC2"/>
    <w:rsid w:val="000B5860"/>
    <w:rsid w:val="000C69A2"/>
    <w:rsid w:val="000D67B3"/>
    <w:rsid w:val="000E50DE"/>
    <w:rsid w:val="001315A7"/>
    <w:rsid w:val="00132FF9"/>
    <w:rsid w:val="00136EB1"/>
    <w:rsid w:val="0014021D"/>
    <w:rsid w:val="00146A13"/>
    <w:rsid w:val="00163DD2"/>
    <w:rsid w:val="00180E23"/>
    <w:rsid w:val="00186A38"/>
    <w:rsid w:val="001A23AC"/>
    <w:rsid w:val="001C5B26"/>
    <w:rsid w:val="001D542A"/>
    <w:rsid w:val="001E6368"/>
    <w:rsid w:val="001F5705"/>
    <w:rsid w:val="0021745E"/>
    <w:rsid w:val="0023155A"/>
    <w:rsid w:val="00233320"/>
    <w:rsid w:val="002513E1"/>
    <w:rsid w:val="00252E56"/>
    <w:rsid w:val="00256000"/>
    <w:rsid w:val="00262A2B"/>
    <w:rsid w:val="002759DA"/>
    <w:rsid w:val="00285975"/>
    <w:rsid w:val="002A2F72"/>
    <w:rsid w:val="002A5810"/>
    <w:rsid w:val="002C3AF5"/>
    <w:rsid w:val="00310B8D"/>
    <w:rsid w:val="00310BF7"/>
    <w:rsid w:val="003146E3"/>
    <w:rsid w:val="003159CD"/>
    <w:rsid w:val="003268B8"/>
    <w:rsid w:val="0032710C"/>
    <w:rsid w:val="00336F0A"/>
    <w:rsid w:val="00346553"/>
    <w:rsid w:val="00351DDA"/>
    <w:rsid w:val="00377FA1"/>
    <w:rsid w:val="003804BE"/>
    <w:rsid w:val="003858A8"/>
    <w:rsid w:val="00385BAE"/>
    <w:rsid w:val="00391AEB"/>
    <w:rsid w:val="003B7433"/>
    <w:rsid w:val="003C6C4E"/>
    <w:rsid w:val="003D6DE5"/>
    <w:rsid w:val="003F2EC1"/>
    <w:rsid w:val="003F4848"/>
    <w:rsid w:val="00425286"/>
    <w:rsid w:val="0042715D"/>
    <w:rsid w:val="004271C5"/>
    <w:rsid w:val="00436C06"/>
    <w:rsid w:val="00453412"/>
    <w:rsid w:val="00455646"/>
    <w:rsid w:val="00466FD2"/>
    <w:rsid w:val="004714E4"/>
    <w:rsid w:val="00477934"/>
    <w:rsid w:val="004A0B0E"/>
    <w:rsid w:val="004A7DDA"/>
    <w:rsid w:val="004C7CE6"/>
    <w:rsid w:val="004D125E"/>
    <w:rsid w:val="004E162A"/>
    <w:rsid w:val="005152D5"/>
    <w:rsid w:val="005159EF"/>
    <w:rsid w:val="0052788A"/>
    <w:rsid w:val="00575F20"/>
    <w:rsid w:val="00581F18"/>
    <w:rsid w:val="005A59D0"/>
    <w:rsid w:val="005B1062"/>
    <w:rsid w:val="005C3926"/>
    <w:rsid w:val="005D7867"/>
    <w:rsid w:val="005E2324"/>
    <w:rsid w:val="00605A95"/>
    <w:rsid w:val="00614128"/>
    <w:rsid w:val="00626870"/>
    <w:rsid w:val="00630B4D"/>
    <w:rsid w:val="006409AC"/>
    <w:rsid w:val="00643FB6"/>
    <w:rsid w:val="006517C0"/>
    <w:rsid w:val="006649F0"/>
    <w:rsid w:val="00673D5A"/>
    <w:rsid w:val="00675DBB"/>
    <w:rsid w:val="00677EB9"/>
    <w:rsid w:val="0068525F"/>
    <w:rsid w:val="006877E8"/>
    <w:rsid w:val="00695B1F"/>
    <w:rsid w:val="006A0C9B"/>
    <w:rsid w:val="006D4877"/>
    <w:rsid w:val="00700E34"/>
    <w:rsid w:val="00747183"/>
    <w:rsid w:val="007509C9"/>
    <w:rsid w:val="00754330"/>
    <w:rsid w:val="007572B4"/>
    <w:rsid w:val="00760555"/>
    <w:rsid w:val="00761472"/>
    <w:rsid w:val="0076604C"/>
    <w:rsid w:val="00776042"/>
    <w:rsid w:val="007A3B58"/>
    <w:rsid w:val="007B60F0"/>
    <w:rsid w:val="007C58C8"/>
    <w:rsid w:val="007C5FC6"/>
    <w:rsid w:val="007E05E4"/>
    <w:rsid w:val="007E0F6D"/>
    <w:rsid w:val="007F3358"/>
    <w:rsid w:val="007F39A5"/>
    <w:rsid w:val="00802821"/>
    <w:rsid w:val="00803C7A"/>
    <w:rsid w:val="00814875"/>
    <w:rsid w:val="00826875"/>
    <w:rsid w:val="00834D11"/>
    <w:rsid w:val="0084360A"/>
    <w:rsid w:val="00864870"/>
    <w:rsid w:val="008661D8"/>
    <w:rsid w:val="00874B5C"/>
    <w:rsid w:val="008A268F"/>
    <w:rsid w:val="008A38F4"/>
    <w:rsid w:val="008C15C4"/>
    <w:rsid w:val="008C2B80"/>
    <w:rsid w:val="008C2E7E"/>
    <w:rsid w:val="008D39B1"/>
    <w:rsid w:val="008E4740"/>
    <w:rsid w:val="00900900"/>
    <w:rsid w:val="00927DC8"/>
    <w:rsid w:val="00953D39"/>
    <w:rsid w:val="00967D53"/>
    <w:rsid w:val="0097259D"/>
    <w:rsid w:val="00973E57"/>
    <w:rsid w:val="0097603C"/>
    <w:rsid w:val="009768E5"/>
    <w:rsid w:val="0098401C"/>
    <w:rsid w:val="009B5339"/>
    <w:rsid w:val="009B6263"/>
    <w:rsid w:val="009C21D2"/>
    <w:rsid w:val="009C7388"/>
    <w:rsid w:val="009D391F"/>
    <w:rsid w:val="009D630E"/>
    <w:rsid w:val="009E1249"/>
    <w:rsid w:val="009E519F"/>
    <w:rsid w:val="009E74AA"/>
    <w:rsid w:val="009F031B"/>
    <w:rsid w:val="009F588E"/>
    <w:rsid w:val="00A0111E"/>
    <w:rsid w:val="00A10D5F"/>
    <w:rsid w:val="00A13164"/>
    <w:rsid w:val="00A21B5C"/>
    <w:rsid w:val="00A23D36"/>
    <w:rsid w:val="00A24FA4"/>
    <w:rsid w:val="00A27434"/>
    <w:rsid w:val="00A31B8A"/>
    <w:rsid w:val="00A35594"/>
    <w:rsid w:val="00A41D4B"/>
    <w:rsid w:val="00A43DFE"/>
    <w:rsid w:val="00A53517"/>
    <w:rsid w:val="00A5619B"/>
    <w:rsid w:val="00A5719D"/>
    <w:rsid w:val="00A6332C"/>
    <w:rsid w:val="00A67D68"/>
    <w:rsid w:val="00A71557"/>
    <w:rsid w:val="00A9229B"/>
    <w:rsid w:val="00A9274A"/>
    <w:rsid w:val="00AA00B7"/>
    <w:rsid w:val="00AA5BE3"/>
    <w:rsid w:val="00AD0298"/>
    <w:rsid w:val="00AE09A1"/>
    <w:rsid w:val="00AF39DA"/>
    <w:rsid w:val="00B0305B"/>
    <w:rsid w:val="00B03CED"/>
    <w:rsid w:val="00B10E33"/>
    <w:rsid w:val="00B1527D"/>
    <w:rsid w:val="00B200EC"/>
    <w:rsid w:val="00B3035E"/>
    <w:rsid w:val="00B34250"/>
    <w:rsid w:val="00B42B89"/>
    <w:rsid w:val="00B540C4"/>
    <w:rsid w:val="00B56772"/>
    <w:rsid w:val="00B60933"/>
    <w:rsid w:val="00B61494"/>
    <w:rsid w:val="00B7363C"/>
    <w:rsid w:val="00B87B93"/>
    <w:rsid w:val="00B9779B"/>
    <w:rsid w:val="00BC15D7"/>
    <w:rsid w:val="00BD75BD"/>
    <w:rsid w:val="00BF2880"/>
    <w:rsid w:val="00BF3E99"/>
    <w:rsid w:val="00BF544B"/>
    <w:rsid w:val="00C11AF4"/>
    <w:rsid w:val="00C12258"/>
    <w:rsid w:val="00C27FF5"/>
    <w:rsid w:val="00C467A1"/>
    <w:rsid w:val="00C46949"/>
    <w:rsid w:val="00C54C40"/>
    <w:rsid w:val="00C56E77"/>
    <w:rsid w:val="00C62000"/>
    <w:rsid w:val="00C62DC7"/>
    <w:rsid w:val="00C716D6"/>
    <w:rsid w:val="00C721C0"/>
    <w:rsid w:val="00C82CB6"/>
    <w:rsid w:val="00C853CC"/>
    <w:rsid w:val="00C86F8D"/>
    <w:rsid w:val="00C877A3"/>
    <w:rsid w:val="00C879FE"/>
    <w:rsid w:val="00C87AFC"/>
    <w:rsid w:val="00C95BCF"/>
    <w:rsid w:val="00CB68AB"/>
    <w:rsid w:val="00CD10F0"/>
    <w:rsid w:val="00CD1AAA"/>
    <w:rsid w:val="00CD43AB"/>
    <w:rsid w:val="00CD6CFF"/>
    <w:rsid w:val="00CF0A3F"/>
    <w:rsid w:val="00D019EA"/>
    <w:rsid w:val="00D10EB4"/>
    <w:rsid w:val="00D2229C"/>
    <w:rsid w:val="00D24B12"/>
    <w:rsid w:val="00D256E3"/>
    <w:rsid w:val="00D441FD"/>
    <w:rsid w:val="00D52174"/>
    <w:rsid w:val="00D61736"/>
    <w:rsid w:val="00D73942"/>
    <w:rsid w:val="00D745DC"/>
    <w:rsid w:val="00D815E3"/>
    <w:rsid w:val="00D84DF1"/>
    <w:rsid w:val="00D937FF"/>
    <w:rsid w:val="00D957AB"/>
    <w:rsid w:val="00DA655E"/>
    <w:rsid w:val="00DB19F7"/>
    <w:rsid w:val="00DB35A2"/>
    <w:rsid w:val="00DB775C"/>
    <w:rsid w:val="00DD2E2D"/>
    <w:rsid w:val="00DD7818"/>
    <w:rsid w:val="00DE045A"/>
    <w:rsid w:val="00DF58B4"/>
    <w:rsid w:val="00DF7532"/>
    <w:rsid w:val="00E2546E"/>
    <w:rsid w:val="00E3502C"/>
    <w:rsid w:val="00E527E4"/>
    <w:rsid w:val="00E62B44"/>
    <w:rsid w:val="00E6645A"/>
    <w:rsid w:val="00EA36BC"/>
    <w:rsid w:val="00EC3332"/>
    <w:rsid w:val="00EC655C"/>
    <w:rsid w:val="00EC7A01"/>
    <w:rsid w:val="00ED2549"/>
    <w:rsid w:val="00ED3450"/>
    <w:rsid w:val="00EE44E3"/>
    <w:rsid w:val="00F016D5"/>
    <w:rsid w:val="00F07D8A"/>
    <w:rsid w:val="00F23569"/>
    <w:rsid w:val="00F24ED9"/>
    <w:rsid w:val="00F279ED"/>
    <w:rsid w:val="00F31729"/>
    <w:rsid w:val="00F32F73"/>
    <w:rsid w:val="00F33C4D"/>
    <w:rsid w:val="00F43BBC"/>
    <w:rsid w:val="00F4691D"/>
    <w:rsid w:val="00F542D4"/>
    <w:rsid w:val="00F66B01"/>
    <w:rsid w:val="00FA2FED"/>
    <w:rsid w:val="00FA4C07"/>
    <w:rsid w:val="00FB1F30"/>
    <w:rsid w:val="00FC2AC4"/>
    <w:rsid w:val="00FC33E1"/>
    <w:rsid w:val="00FC58CB"/>
    <w:rsid w:val="00FD307E"/>
    <w:rsid w:val="00FD72D6"/>
    <w:rsid w:val="00FE2F41"/>
    <w:rsid w:val="00FF1951"/>
    <w:rsid w:val="00FF326F"/>
    <w:rsid w:val="00FF3C4B"/>
    <w:rsid w:val="00FF6A29"/>
    <w:rsid w:val="1A055B37"/>
    <w:rsid w:val="2B4A5207"/>
    <w:rsid w:val="6BE50A3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4FAB3"/>
  <w15:docId w15:val="{53A5F4DB-D25F-4024-AB5E-26A4E7AB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pPr>
    <w:rPr>
      <w:rFonts w:ascii="Calibri" w:eastAsia="Calibri" w:hAnsi="Calibri"/>
      <w:sz w:val="22"/>
      <w:szCs w:val="22"/>
    </w:rPr>
  </w:style>
  <w:style w:type="paragraph" w:styleId="a6">
    <w:name w:val="header"/>
    <w:basedOn w:val="a"/>
    <w:link w:val="a7"/>
    <w:uiPriority w:val="99"/>
    <w:unhideWhenUsed/>
    <w:pPr>
      <w:tabs>
        <w:tab w:val="center" w:pos="4677"/>
        <w:tab w:val="right" w:pos="9355"/>
      </w:tabs>
    </w:pPr>
    <w:rPr>
      <w:rFonts w:ascii="Calibri" w:eastAsia="Calibri" w:hAnsi="Calibri"/>
      <w:sz w:val="22"/>
      <w:szCs w:val="22"/>
    </w:rPr>
  </w:style>
  <w:style w:type="character" w:styleId="a8">
    <w:name w:val="Hyperlink"/>
    <w:basedOn w:val="a0"/>
    <w:uiPriority w:val="99"/>
    <w:unhideWhenUsed/>
    <w:qFormat/>
    <w:rPr>
      <w:color w:val="0000FF"/>
      <w:u w:val="single"/>
    </w:rPr>
  </w:style>
  <w:style w:type="paragraph" w:styleId="a9">
    <w:name w:val="Normal (Web)"/>
    <w:basedOn w:val="a"/>
    <w:uiPriority w:val="99"/>
    <w:unhideWhenUsed/>
    <w:qFormat/>
    <w:pPr>
      <w:spacing w:before="100" w:beforeAutospacing="1" w:after="100" w:afterAutospacing="1"/>
    </w:pPr>
    <w:rPr>
      <w:lang w:eastAsia="uk-UA"/>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a">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pPr>
    <w:rPr>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rPr>
      <w:rFonts w:ascii="Calibri" w:eastAsia="Calibri" w:hAnsi="Calibri" w:cs="Times New Roman"/>
      <w:sz w:val="22"/>
    </w:rPr>
  </w:style>
  <w:style w:type="character" w:customStyle="1" w:styleId="1">
    <w:name w:val="Незакрита згадка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506/ed_2017_12_19/pravo1/T141697.html?prav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F66D8-B32E-4C50-B239-2AAF7C4C0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6</Pages>
  <Words>9992</Words>
  <Characters>5696</Characters>
  <DocSecurity>0</DocSecurity>
  <Lines>47</Lines>
  <Paragraphs>31</Paragraphs>
  <ScaleCrop>false</ScaleCrop>
  <Company/>
  <LinksUpToDate>false</LinksUpToDate>
  <CharactersWithSpaces>15657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2025-10-31T07:13:00Z</cp:lastPrinted>
  <dcterms:created xsi:type="dcterms:W3CDTF">2025-10-23T07:52:00Z</dcterms:created>
  <dcterms:modified xsi:type="dcterms:W3CDTF">2026-03-20T13:49:00Z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099335DA7EB143598B5D735D80FB3532_13</vt:lpwstr>
  </property>
  <property fmtid="{D5CDD505-2E9C-101B-9397-08002B2CF9AE}" pid="4" name="MSIP_Label_defa4170-0d19-0005-0004-bc88714345d2_Enabled">
    <vt:lpwstr>true</vt:lpwstr>
  </property>
  <property fmtid="{D5CDD505-2E9C-101B-9397-08002B2CF9AE}" pid="5" name="MSIP_Label_defa4170-0d19-0005-0004-bc88714345d2_SetDate">
    <vt:lpwstr>2025-10-13T15:35:33Z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3a5e2e39-0633-4775-8a2f-4b767cf8b4cc</vt:lpwstr>
  </property>
  <property fmtid="{D5CDD505-2E9C-101B-9397-08002B2CF9AE}" pid="9" name="MSIP_Label_defa4170-0d19-0005-0004-bc88714345d2_ActionId">
    <vt:lpwstr>0cb7dd27-421f-486d-bdaa-6dca98c09feb</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