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9A4B" w14:textId="77777777" w:rsidR="002468DA" w:rsidRDefault="00000000">
      <w:pPr>
        <w:pStyle w:val="a6"/>
        <w:jc w:val="center"/>
        <w:rPr>
          <w:sz w:val="26"/>
        </w:rPr>
      </w:pPr>
      <w:r>
        <w:rPr>
          <w:noProof/>
          <w:sz w:val="19"/>
          <w:lang w:val="en-US"/>
        </w:rPr>
        <w:drawing>
          <wp:inline distT="0" distB="0" distL="0" distR="0" wp14:anchorId="71DA838F" wp14:editId="66F5E65B">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6241E3D9" w14:textId="77777777" w:rsidR="002468DA" w:rsidRDefault="002468DA">
      <w:pPr>
        <w:pStyle w:val="a6"/>
        <w:jc w:val="center"/>
        <w:rPr>
          <w:b/>
          <w:sz w:val="10"/>
        </w:rPr>
      </w:pPr>
    </w:p>
    <w:p w14:paraId="14CED9F1" w14:textId="77777777" w:rsidR="002468DA" w:rsidRDefault="00000000">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5E8BA3C7" w14:textId="77777777" w:rsidR="002468DA" w:rsidRDefault="002468DA">
      <w:pPr>
        <w:spacing w:after="0" w:line="240" w:lineRule="auto"/>
        <w:ind w:left="84"/>
        <w:jc w:val="center"/>
        <w:rPr>
          <w:rFonts w:ascii="Times New Roman" w:hAnsi="Times New Roman"/>
          <w:b/>
          <w:kern w:val="28"/>
          <w:sz w:val="28"/>
          <w:szCs w:val="28"/>
          <w:lang w:eastAsia="uk-UA"/>
        </w:rPr>
      </w:pPr>
    </w:p>
    <w:p w14:paraId="2E16F019" w14:textId="77777777" w:rsidR="002468DA" w:rsidRDefault="00000000">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 xml:space="preserve">Р І Ш Е Н </w:t>
      </w:r>
      <w:proofErr w:type="spellStart"/>
      <w:r>
        <w:rPr>
          <w:rFonts w:ascii="Times New Roman" w:hAnsi="Times New Roman"/>
          <w:b/>
          <w:kern w:val="28"/>
          <w:sz w:val="28"/>
          <w:szCs w:val="28"/>
          <w:lang w:eastAsia="uk-UA"/>
        </w:rPr>
        <w:t>Н</w:t>
      </w:r>
      <w:proofErr w:type="spellEnd"/>
      <w:r>
        <w:rPr>
          <w:rFonts w:ascii="Times New Roman" w:hAnsi="Times New Roman"/>
          <w:b/>
          <w:kern w:val="28"/>
          <w:sz w:val="28"/>
          <w:szCs w:val="28"/>
          <w:lang w:eastAsia="uk-UA"/>
        </w:rPr>
        <w:t xml:space="preserve"> Я</w:t>
      </w:r>
    </w:p>
    <w:p w14:paraId="4105AAA6" w14:textId="77777777" w:rsidR="002468DA" w:rsidRDefault="002468DA">
      <w:pPr>
        <w:ind w:left="84"/>
        <w:jc w:val="center"/>
        <w:rPr>
          <w:b/>
          <w:kern w:val="28"/>
          <w:szCs w:val="28"/>
          <w:lang w:eastAsia="uk-UA"/>
        </w:rPr>
      </w:pPr>
    </w:p>
    <w:p w14:paraId="11708BA8" w14:textId="77777777" w:rsidR="002468DA" w:rsidRDefault="00000000">
      <w:pPr>
        <w:rPr>
          <w:rFonts w:ascii="Times New Roman" w:hAnsi="Times New Roman"/>
          <w:b/>
          <w:kern w:val="28"/>
          <w:sz w:val="28"/>
          <w:szCs w:val="28"/>
          <w:lang w:eastAsia="uk-UA"/>
        </w:rPr>
      </w:pPr>
      <w:r>
        <w:rPr>
          <w:rFonts w:ascii="Times New Roman" w:hAnsi="Times New Roman"/>
          <w:b/>
          <w:kern w:val="28"/>
          <w:sz w:val="28"/>
          <w:szCs w:val="28"/>
          <w:lang w:eastAsia="uk-UA"/>
        </w:rPr>
        <w:t>10 березня 2026 року</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Київ</w:t>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 173дс-26</w:t>
      </w:r>
    </w:p>
    <w:p w14:paraId="25AA6E58" w14:textId="77777777" w:rsidR="002468DA" w:rsidRDefault="000000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1657F64B" w14:textId="77777777" w:rsidR="002468DA" w:rsidRDefault="00000000">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47906A4C" w14:textId="77777777" w:rsidR="002468DA" w:rsidRDefault="002468DA">
      <w:pPr>
        <w:spacing w:line="240" w:lineRule="auto"/>
        <w:contextualSpacing/>
        <w:rPr>
          <w:rFonts w:ascii="Times New Roman" w:hAnsi="Times New Roman"/>
          <w:b/>
          <w:sz w:val="28"/>
          <w:szCs w:val="28"/>
          <w:lang w:eastAsia="uk-UA"/>
        </w:rPr>
      </w:pPr>
    </w:p>
    <w:p w14:paraId="0A4AB14A" w14:textId="72A88EB4" w:rsidR="002468DA" w:rsidRDefault="00000000">
      <w:pPr>
        <w:pStyle w:val="aa"/>
        <w:tabs>
          <w:tab w:val="left" w:pos="567"/>
        </w:tabs>
        <w:ind w:firstLine="567"/>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скаргу </w:t>
      </w:r>
      <w:r w:rsidR="005D5674">
        <w:rPr>
          <w:rFonts w:ascii="Times New Roman" w:hAnsi="Times New Roman"/>
          <w:sz w:val="28"/>
          <w:szCs w:val="28"/>
        </w:rPr>
        <w:t>ОСОБА_1</w:t>
      </w:r>
      <w:r>
        <w:rPr>
          <w:rFonts w:ascii="Times New Roman" w:hAnsi="Times New Roman"/>
          <w:sz w:val="28"/>
          <w:szCs w:val="28"/>
        </w:rPr>
        <w:t xml:space="preserve"> стосовно прокурора Лівобережної окружної прокуратури міста Дніпра Власенко Н</w:t>
      </w:r>
      <w:r w:rsidR="00CB51B7">
        <w:rPr>
          <w:rFonts w:ascii="Times New Roman" w:hAnsi="Times New Roman"/>
          <w:sz w:val="28"/>
          <w:szCs w:val="28"/>
        </w:rPr>
        <w:t xml:space="preserve">адії </w:t>
      </w:r>
      <w:r>
        <w:rPr>
          <w:rFonts w:ascii="Times New Roman" w:hAnsi="Times New Roman"/>
          <w:sz w:val="28"/>
          <w:szCs w:val="28"/>
        </w:rPr>
        <w:t>В</w:t>
      </w:r>
      <w:r w:rsidR="00CB51B7">
        <w:rPr>
          <w:rFonts w:ascii="Times New Roman" w:hAnsi="Times New Roman"/>
          <w:sz w:val="28"/>
          <w:szCs w:val="28"/>
        </w:rPr>
        <w:t>олодимирівни</w:t>
      </w:r>
      <w:r>
        <w:rPr>
          <w:rFonts w:ascii="Times New Roman" w:hAnsi="Times New Roman"/>
          <w:sz w:val="28"/>
          <w:szCs w:val="28"/>
        </w:rPr>
        <w:t xml:space="preserve"> </w:t>
      </w:r>
      <w:r>
        <w:rPr>
          <w:rFonts w:ascii="Times New Roman" w:hAnsi="Times New Roman"/>
          <w:color w:val="000000" w:themeColor="text1"/>
          <w:sz w:val="28"/>
          <w:szCs w:val="28"/>
        </w:rPr>
        <w:t>(далі – прокурор Власенко Н.В.),</w:t>
      </w:r>
    </w:p>
    <w:p w14:paraId="6E8028E4" w14:textId="77777777" w:rsidR="002468DA" w:rsidRDefault="002468DA">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45AD97D5" w14:textId="77777777" w:rsidR="002468DA" w:rsidRDefault="00000000">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ВСТАНОВИЛА:</w:t>
      </w:r>
    </w:p>
    <w:p w14:paraId="2FA69A86" w14:textId="6424A239" w:rsidR="002468DA" w:rsidRDefault="00000000">
      <w:pPr>
        <w:pStyle w:val="aa"/>
        <w:tabs>
          <w:tab w:val="left" w:pos="567"/>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5D5674">
        <w:rPr>
          <w:rFonts w:ascii="Times New Roman" w:hAnsi="Times New Roman"/>
          <w:sz w:val="28"/>
          <w:szCs w:val="28"/>
        </w:rPr>
        <w:t xml:space="preserve">ОСОБА_1 </w:t>
      </w:r>
      <w:r>
        <w:rPr>
          <w:rFonts w:ascii="Times New Roman" w:hAnsi="Times New Roman"/>
          <w:color w:val="000000" w:themeColor="text1"/>
          <w:sz w:val="28"/>
          <w:szCs w:val="28"/>
        </w:rPr>
        <w:t xml:space="preserve">про вчинення дисциплінарного проступку прокурором </w:t>
      </w:r>
      <w:r>
        <w:rPr>
          <w:rFonts w:ascii="Times New Roman" w:hAnsi="Times New Roman"/>
          <w:sz w:val="28"/>
          <w:szCs w:val="28"/>
        </w:rPr>
        <w:t>Лівобережної окружної прокуратури міста Дніпра Власенко Н.В.</w:t>
      </w:r>
    </w:p>
    <w:p w14:paraId="2582DFD9" w14:textId="77777777" w:rsidR="002468DA" w:rsidRDefault="00000000">
      <w:pPr>
        <w:pStyle w:val="aa"/>
        <w:tabs>
          <w:tab w:val="left" w:pos="567"/>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Скарга передана члену Комісії </w:t>
      </w:r>
      <w:proofErr w:type="spellStart"/>
      <w:r>
        <w:rPr>
          <w:rFonts w:ascii="Times New Roman" w:hAnsi="Times New Roman"/>
          <w:color w:val="000000" w:themeColor="text1"/>
          <w:sz w:val="28"/>
          <w:szCs w:val="28"/>
        </w:rPr>
        <w:t>Мнишенко</w:t>
      </w:r>
      <w:proofErr w:type="spellEnd"/>
      <w:r>
        <w:rPr>
          <w:rFonts w:ascii="Times New Roman" w:hAnsi="Times New Roman"/>
          <w:color w:val="000000" w:themeColor="text1"/>
          <w:sz w:val="28"/>
          <w:szCs w:val="28"/>
        </w:rPr>
        <w:t xml:space="preserve"> Є.С. (протокол автоматичного розподілу від 26 лютого 2026 року). </w:t>
      </w:r>
    </w:p>
    <w:p w14:paraId="28D24127" w14:textId="77777777" w:rsidR="002468DA" w:rsidRDefault="000000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251A4D49" w14:textId="77777777" w:rsidR="002468DA" w:rsidRDefault="00000000">
      <w:pPr>
        <w:widowControl w:val="0"/>
        <w:tabs>
          <w:tab w:val="left" w:pos="567"/>
          <w:tab w:val="left" w:pos="851"/>
        </w:tabs>
        <w:spacing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
    <w:p w14:paraId="7D13B45F" w14:textId="77777777" w:rsidR="002468DA" w:rsidRDefault="000000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Зміст скарги</w:t>
      </w:r>
    </w:p>
    <w:p w14:paraId="77FB8BF5" w14:textId="77777777" w:rsidR="002468DA" w:rsidRDefault="00000000">
      <w:pPr>
        <w:pStyle w:val="a9"/>
        <w:adjustRightInd w:val="0"/>
        <w:snapToGrid w:val="0"/>
        <w:spacing w:before="0" w:beforeAutospacing="0" w:after="0" w:afterAutospacing="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У дисциплінарній скарзі зазначено, що, на думку скаржника, прокурор у межах кримінального провадження порушує вимоги кримінального процесуального законодавства та її право на захист. Зокрема, скаржник вказує, що прокурором було обмежено її право на ознайомлення з матеріалами досудового розслідування, надавши дозвіл лише на часткове ознайомлення з матеріалами, зокрема з висновком лінгвістичної експертизи. </w:t>
      </w:r>
    </w:p>
    <w:p w14:paraId="08352221" w14:textId="77777777" w:rsidR="002468DA" w:rsidRDefault="00000000">
      <w:pPr>
        <w:pStyle w:val="a9"/>
        <w:adjustRightInd w:val="0"/>
        <w:snapToGrid w:val="0"/>
        <w:spacing w:before="0" w:beforeAutospacing="0" w:after="0" w:afterAutospacing="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Також у скарзі зазначено, що після оскарження постанови прокурора слідчим суддею було скасовано обмеження щодо доступу до матеріалів досудового розслідування та надано можливість ознайомитися з ними. Разом із тим, як зазначає скаржник, фактично їй не було надано достатнього часу для ознайомлення з матеріалами кримінального провадження, після чого слідчим та прокурором було підготовлено обвинувальний акт. </w:t>
      </w:r>
    </w:p>
    <w:p w14:paraId="796B03A8" w14:textId="77777777" w:rsidR="002468DA" w:rsidRDefault="00000000">
      <w:pPr>
        <w:pStyle w:val="a9"/>
        <w:shd w:val="clear" w:color="auto" w:fill="FFFFFF"/>
        <w:spacing w:before="0" w:beforeAutospacing="0" w:after="0" w:afterAutospacing="0"/>
        <w:jc w:val="both"/>
        <w:rPr>
          <w:color w:val="000000" w:themeColor="text1"/>
          <w:sz w:val="28"/>
          <w:szCs w:val="28"/>
        </w:rPr>
      </w:pPr>
      <w:r>
        <w:rPr>
          <w:rFonts w:eastAsia="Calibri"/>
          <w:color w:val="000000" w:themeColor="text1"/>
          <w:sz w:val="28"/>
          <w:szCs w:val="28"/>
          <w:lang w:eastAsia="en-US"/>
        </w:rPr>
        <w:t xml:space="preserve">         </w:t>
      </w:r>
      <w:r>
        <w:rPr>
          <w:color w:val="000000" w:themeColor="text1"/>
          <w:sz w:val="28"/>
          <w:szCs w:val="28"/>
        </w:rPr>
        <w:t>У зв’язку з наведеним просить притягнути вищевказаного прокурора Власенко Н.В. до дисциплінарної відповідальності.</w:t>
      </w:r>
    </w:p>
    <w:p w14:paraId="197842AA" w14:textId="77777777" w:rsidR="002468DA" w:rsidRDefault="0000000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Дисциплінарна скарга не відповідає рекомендованому зразку, зокрема, </w:t>
      </w:r>
      <w:r>
        <w:rPr>
          <w:rFonts w:ascii="Times New Roman" w:hAnsi="Times New Roman"/>
          <w:sz w:val="28"/>
          <w:szCs w:val="28"/>
        </w:rPr>
        <w:br/>
        <w:t>у ній не зазначено передбачених частиною першою статті 43 Закону України «Про прокуратуру» від 14 жовтня 2014 року № 1697-VII (далі – Закон, Закон № 1697-VII) підстав для притягнення прокурора до дисциплінарної відповідальності.</w:t>
      </w:r>
    </w:p>
    <w:p w14:paraId="35A22656" w14:textId="77777777" w:rsidR="002468DA" w:rsidRDefault="002468DA">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28A57C06" w14:textId="77777777" w:rsidR="002468DA" w:rsidRDefault="000000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Щодо встановлених фактичних даних</w:t>
      </w:r>
    </w:p>
    <w:p w14:paraId="6F93B04B" w14:textId="77777777" w:rsidR="002468DA" w:rsidRDefault="00000000">
      <w:pPr>
        <w:pStyle w:val="a9"/>
        <w:shd w:val="clear" w:color="auto" w:fill="FFFFFF"/>
        <w:spacing w:before="0" w:beforeAutospacing="0" w:after="0" w:afterAutospacing="0"/>
        <w:jc w:val="both"/>
        <w:rPr>
          <w:rFonts w:eastAsia="Calibri"/>
          <w:color w:val="000000" w:themeColor="text1"/>
          <w:sz w:val="28"/>
          <w:szCs w:val="28"/>
          <w:lang w:eastAsia="en-US"/>
        </w:rPr>
      </w:pPr>
      <w:r>
        <w:rPr>
          <w:rFonts w:eastAsia="Calibri"/>
          <w:color w:val="000000" w:themeColor="text1"/>
          <w:sz w:val="28"/>
          <w:szCs w:val="28"/>
          <w:lang w:eastAsia="en-US"/>
        </w:rPr>
        <w:t xml:space="preserve">         До дисциплінарної скарги долучено копії: запиту від 09.02.2026; постанови від 11.02.2026; ухвали від 19.02.2026; реєстру матеріалів досудового розслідування від 24.02.2026;  висновку експерта.</w:t>
      </w:r>
    </w:p>
    <w:p w14:paraId="0FDF1D58" w14:textId="77777777" w:rsidR="002468DA" w:rsidRDefault="002468DA">
      <w:pPr>
        <w:pStyle w:val="a9"/>
        <w:shd w:val="clear" w:color="auto" w:fill="FFFFFF"/>
        <w:spacing w:before="0" w:beforeAutospacing="0" w:after="0" w:afterAutospacing="0"/>
        <w:jc w:val="both"/>
        <w:rPr>
          <w:rFonts w:eastAsia="Calibri"/>
          <w:color w:val="000000" w:themeColor="text1"/>
          <w:sz w:val="28"/>
          <w:szCs w:val="28"/>
          <w:highlight w:val="yellow"/>
          <w:lang w:eastAsia="en-US"/>
        </w:rPr>
      </w:pPr>
    </w:p>
    <w:p w14:paraId="7D756240" w14:textId="77777777" w:rsidR="002468DA" w:rsidRDefault="000000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Pr>
          <w:rFonts w:ascii="Times New Roman" w:hAnsi="Times New Roman"/>
          <w:b/>
          <w:bCs/>
          <w:color w:val="000000" w:themeColor="text1"/>
          <w:sz w:val="28"/>
          <w:szCs w:val="28"/>
        </w:rPr>
        <w:t>Щ</w:t>
      </w:r>
      <w:r>
        <w:rPr>
          <w:rFonts w:ascii="Times New Roman" w:hAnsi="Times New Roman"/>
          <w:b/>
          <w:color w:val="000000" w:themeColor="text1"/>
          <w:sz w:val="28"/>
          <w:szCs w:val="28"/>
        </w:rPr>
        <w:t>одо джерел права, які підлягають застосуванню</w:t>
      </w:r>
    </w:p>
    <w:p w14:paraId="1B4734AD" w14:textId="77777777" w:rsidR="002468DA" w:rsidRDefault="002468DA">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15BC9B67" w14:textId="77777777" w:rsidR="002468DA" w:rsidRDefault="000000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Pr>
          <w:rFonts w:ascii="Times New Roman" w:hAnsi="Times New Roman"/>
          <w:color w:val="000000" w:themeColor="text1"/>
          <w:sz w:val="28"/>
          <w:szCs w:val="28"/>
        </w:rPr>
        <w:noBreakHyphen/>
        <w:t>VII (далі – Закон № 1697</w:t>
      </w:r>
      <w:r>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FA28DFD" w14:textId="77777777" w:rsidR="002468DA" w:rsidRDefault="000000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Зі змісту частини другої статті 16 Закону № 1697</w:t>
      </w:r>
      <w:r>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A2E1F5E" w14:textId="77777777" w:rsidR="002468DA" w:rsidRDefault="000000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загальним правилом, наведеним у частині першій статті 36 </w:t>
      </w:r>
      <w:bookmarkStart w:id="0" w:name="_Hlk211245207"/>
      <w:r>
        <w:rPr>
          <w:rFonts w:ascii="Times New Roman" w:hAnsi="Times New Roman"/>
          <w:color w:val="000000" w:themeColor="text1"/>
          <w:sz w:val="28"/>
          <w:szCs w:val="28"/>
        </w:rPr>
        <w:t xml:space="preserve">КПК України, </w:t>
      </w:r>
      <w:bookmarkEnd w:id="0"/>
      <w:r>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67627BF" w14:textId="77777777" w:rsidR="002468DA" w:rsidRDefault="000000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1" w:name="n2188"/>
      <w:bookmarkEnd w:id="1"/>
      <w:r>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Pr>
          <w:rFonts w:ascii="Times New Roman" w:hAnsi="Times New Roman"/>
          <w:color w:val="000000" w:themeColor="text1"/>
          <w:sz w:val="28"/>
          <w:szCs w:val="28"/>
        </w:rPr>
        <w:noBreakHyphen/>
        <w:t xml:space="preserve">VII. </w:t>
      </w:r>
    </w:p>
    <w:p w14:paraId="2DDFB8FB" w14:textId="77777777" w:rsidR="002468DA" w:rsidRDefault="000000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AC852EA" w14:textId="77777777" w:rsidR="002468DA" w:rsidRDefault="000000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221E420" w14:textId="77777777" w:rsidR="002468DA" w:rsidRDefault="00000000">
      <w:pPr>
        <w:pStyle w:val="aa"/>
        <w:ind w:firstLine="567"/>
        <w:jc w:val="both"/>
        <w:rPr>
          <w:rFonts w:ascii="Times New Roman" w:hAnsi="Times New Roman"/>
          <w:color w:val="000000" w:themeColor="text1"/>
          <w:sz w:val="28"/>
          <w:szCs w:val="28"/>
        </w:rPr>
      </w:pPr>
      <w:r>
        <w:rPr>
          <w:rStyle w:val="rvts9"/>
          <w:rFonts w:ascii="Times New Roman" w:hAnsi="Times New Roman"/>
          <w:bCs/>
          <w:color w:val="000000" w:themeColor="text1"/>
          <w:sz w:val="28"/>
          <w:szCs w:val="28"/>
        </w:rPr>
        <w:t xml:space="preserve">Частиною першою статті 43 </w:t>
      </w:r>
      <w:r>
        <w:rPr>
          <w:rFonts w:ascii="Times New Roman" w:hAnsi="Times New Roman"/>
          <w:color w:val="000000" w:themeColor="text1"/>
          <w:sz w:val="28"/>
          <w:szCs w:val="28"/>
        </w:rPr>
        <w:t>Закону № 1697</w:t>
      </w:r>
      <w:r>
        <w:rPr>
          <w:rFonts w:ascii="Times New Roman" w:hAnsi="Times New Roman"/>
          <w:color w:val="000000" w:themeColor="text1"/>
          <w:sz w:val="28"/>
          <w:szCs w:val="28"/>
        </w:rPr>
        <w:noBreakHyphen/>
        <w:t xml:space="preserve">VII визначено, що </w:t>
      </w:r>
      <w:r>
        <w:rPr>
          <w:rStyle w:val="rvts9"/>
          <w:rFonts w:ascii="Times New Roman" w:hAnsi="Times New Roman"/>
          <w:bCs/>
          <w:color w:val="000000" w:themeColor="text1"/>
          <w:sz w:val="28"/>
          <w:szCs w:val="28"/>
        </w:rPr>
        <w:t xml:space="preserve"> </w:t>
      </w:r>
      <w:r>
        <w:rPr>
          <w:rFonts w:ascii="Times New Roman" w:hAnsi="Times New Roman"/>
          <w:color w:val="000000" w:themeColor="text1"/>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w:t>
      </w:r>
      <w:r>
        <w:rPr>
          <w:rFonts w:ascii="Times New Roman" w:hAnsi="Times New Roman"/>
          <w:color w:val="000000" w:themeColor="text1"/>
          <w:sz w:val="28"/>
          <w:szCs w:val="28"/>
        </w:rPr>
        <w:lastRenderedPageBreak/>
        <w:t>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939890D" w14:textId="77777777" w:rsidR="002468DA"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Юридична конструкція статті 46 Закону № 1697</w:t>
      </w:r>
      <w:r>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F4B8114" w14:textId="77777777" w:rsidR="002468DA"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EA3AF70" w14:textId="77777777" w:rsidR="002468DA"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 дисциплінарна скарга є анонімною;</w:t>
      </w:r>
    </w:p>
    <w:p w14:paraId="088E26FF" w14:textId="77777777" w:rsidR="002468DA"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3) дисциплінарна скарга подана з підстав, не визначених </w:t>
      </w:r>
      <w:hyperlink r:id="rId8" w:anchor="n416" w:history="1">
        <w:r w:rsidR="002468DA">
          <w:rPr>
            <w:rStyle w:val="a8"/>
            <w:rFonts w:ascii="Times New Roman" w:hAnsi="Times New Roman"/>
            <w:color w:val="000000" w:themeColor="text1"/>
            <w:sz w:val="28"/>
            <w:szCs w:val="28"/>
            <w:u w:val="none"/>
          </w:rPr>
          <w:t>статтею 43</w:t>
        </w:r>
      </w:hyperlink>
      <w:r>
        <w:rPr>
          <w:rFonts w:ascii="Times New Roman" w:hAnsi="Times New Roman"/>
          <w:color w:val="000000" w:themeColor="text1"/>
          <w:sz w:val="28"/>
          <w:szCs w:val="28"/>
        </w:rPr>
        <w:t> цього Закону;</w:t>
      </w:r>
    </w:p>
    <w:p w14:paraId="507AA6CE" w14:textId="77777777" w:rsidR="002468DA"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002468DA">
          <w:rPr>
            <w:rStyle w:val="a8"/>
            <w:rFonts w:ascii="Times New Roman" w:hAnsi="Times New Roman"/>
            <w:color w:val="000000" w:themeColor="text1"/>
            <w:sz w:val="28"/>
            <w:szCs w:val="28"/>
            <w:u w:val="none"/>
          </w:rPr>
          <w:t> статтею 51</w:t>
        </w:r>
      </w:hyperlink>
      <w:r>
        <w:rPr>
          <w:rFonts w:ascii="Times New Roman" w:hAnsi="Times New Roman"/>
          <w:color w:val="000000" w:themeColor="text1"/>
          <w:sz w:val="28"/>
          <w:szCs w:val="28"/>
        </w:rPr>
        <w:t> цього Закону;</w:t>
      </w:r>
    </w:p>
    <w:p w14:paraId="0C5E0016" w14:textId="77777777" w:rsidR="002468DA" w:rsidRDefault="00000000">
      <w:pPr>
        <w:pStyle w:val="aa"/>
        <w:widowControl w:val="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D35F7E7" w14:textId="77777777" w:rsidR="002468DA" w:rsidRDefault="00000000">
      <w:pPr>
        <w:pStyle w:val="aa"/>
        <w:widowControl w:val="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A741D53" w14:textId="77777777" w:rsidR="002468DA"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395F324" w14:textId="77777777" w:rsidR="002468DA" w:rsidRDefault="002468DA">
      <w:pPr>
        <w:pStyle w:val="rvps2"/>
        <w:shd w:val="clear" w:color="auto" w:fill="FFFFFF"/>
        <w:spacing w:before="0" w:beforeAutospacing="0" w:after="0" w:afterAutospacing="0"/>
        <w:ind w:firstLine="567"/>
        <w:jc w:val="both"/>
        <w:rPr>
          <w:b/>
          <w:color w:val="000000" w:themeColor="text1"/>
          <w:sz w:val="28"/>
          <w:szCs w:val="28"/>
          <w:lang w:val="uk-UA"/>
        </w:rPr>
      </w:pPr>
    </w:p>
    <w:p w14:paraId="2A9D5477" w14:textId="77777777" w:rsidR="002468DA" w:rsidRDefault="002468DA">
      <w:pPr>
        <w:pStyle w:val="rvps2"/>
        <w:shd w:val="clear" w:color="auto" w:fill="FFFFFF"/>
        <w:spacing w:before="0" w:beforeAutospacing="0" w:after="0" w:afterAutospacing="0"/>
        <w:ind w:firstLine="567"/>
        <w:jc w:val="both"/>
        <w:rPr>
          <w:b/>
          <w:color w:val="000000" w:themeColor="text1"/>
          <w:sz w:val="28"/>
          <w:szCs w:val="28"/>
          <w:lang w:val="uk-UA"/>
        </w:rPr>
      </w:pPr>
    </w:p>
    <w:p w14:paraId="70BE2F65" w14:textId="77777777" w:rsidR="002468DA" w:rsidRDefault="002468DA">
      <w:pPr>
        <w:pStyle w:val="rvps2"/>
        <w:shd w:val="clear" w:color="auto" w:fill="FFFFFF"/>
        <w:spacing w:before="0" w:beforeAutospacing="0" w:after="0" w:afterAutospacing="0"/>
        <w:ind w:firstLine="567"/>
        <w:jc w:val="both"/>
        <w:rPr>
          <w:b/>
          <w:color w:val="000000" w:themeColor="text1"/>
          <w:sz w:val="28"/>
          <w:szCs w:val="28"/>
          <w:lang w:val="uk-UA"/>
        </w:rPr>
      </w:pPr>
    </w:p>
    <w:p w14:paraId="4B2D318C" w14:textId="77777777" w:rsidR="002468DA" w:rsidRDefault="002468DA">
      <w:pPr>
        <w:pStyle w:val="rvps2"/>
        <w:shd w:val="clear" w:color="auto" w:fill="FFFFFF"/>
        <w:spacing w:before="0" w:beforeAutospacing="0" w:after="0" w:afterAutospacing="0"/>
        <w:ind w:firstLine="567"/>
        <w:jc w:val="both"/>
        <w:rPr>
          <w:b/>
          <w:color w:val="000000" w:themeColor="text1"/>
          <w:sz w:val="28"/>
          <w:szCs w:val="28"/>
          <w:lang w:val="uk-UA"/>
        </w:rPr>
      </w:pPr>
    </w:p>
    <w:p w14:paraId="1FD2AB71" w14:textId="77777777" w:rsidR="002468DA" w:rsidRDefault="00000000">
      <w:pPr>
        <w:pStyle w:val="rvps2"/>
        <w:shd w:val="clear" w:color="auto" w:fill="FFFFFF"/>
        <w:spacing w:before="0" w:beforeAutospacing="0" w:after="0" w:afterAutospacing="0"/>
        <w:ind w:firstLine="567"/>
        <w:jc w:val="both"/>
        <w:rPr>
          <w:b/>
          <w:color w:val="000000" w:themeColor="text1"/>
          <w:sz w:val="28"/>
          <w:szCs w:val="28"/>
          <w:lang w:val="uk-UA"/>
        </w:rPr>
      </w:pPr>
      <w:r>
        <w:rPr>
          <w:b/>
          <w:color w:val="000000" w:themeColor="text1"/>
          <w:sz w:val="28"/>
          <w:szCs w:val="28"/>
          <w:lang w:val="uk-UA"/>
        </w:rPr>
        <w:lastRenderedPageBreak/>
        <w:t>Оцінка встановлених обставин та мотиви прийнятого рішення</w:t>
      </w:r>
    </w:p>
    <w:p w14:paraId="7007D0E2" w14:textId="77777777" w:rsidR="002468DA" w:rsidRDefault="00000000">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ab/>
      </w:r>
    </w:p>
    <w:p w14:paraId="76E56F33" w14:textId="679B4E49" w:rsidR="002468DA" w:rsidRDefault="00000000">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Дисциплінарна скарга </w:t>
      </w:r>
      <w:r w:rsidR="005D5674">
        <w:rPr>
          <w:rFonts w:ascii="Times New Roman" w:hAnsi="Times New Roman"/>
          <w:sz w:val="28"/>
          <w:szCs w:val="28"/>
        </w:rPr>
        <w:t>ОСОБА_1</w:t>
      </w:r>
      <w:r>
        <w:rPr>
          <w:rFonts w:ascii="Times New Roman" w:hAnsi="Times New Roman"/>
          <w:color w:val="000000" w:themeColor="text1"/>
          <w:sz w:val="28"/>
          <w:szCs w:val="28"/>
        </w:rPr>
        <w:t xml:space="preserve">, стосується рішень, дій (бездіяльності) прокурора, вчинених (допущених) в межах кримінального процесу. </w:t>
      </w:r>
      <w:r>
        <w:rPr>
          <w:rFonts w:ascii="Times New Roman" w:hAnsi="Times New Roman"/>
          <w:color w:val="000000"/>
          <w:sz w:val="28"/>
          <w:szCs w:val="28"/>
        </w:rPr>
        <w:t xml:space="preserve">Аналогічна скарга </w:t>
      </w:r>
      <w:r w:rsidR="005D5674">
        <w:rPr>
          <w:rFonts w:ascii="Times New Roman" w:hAnsi="Times New Roman"/>
          <w:sz w:val="28"/>
          <w:szCs w:val="28"/>
        </w:rPr>
        <w:t xml:space="preserve">ОСОБА_1 </w:t>
      </w:r>
      <w:r>
        <w:rPr>
          <w:rFonts w:ascii="Times New Roman" w:hAnsi="Times New Roman"/>
          <w:color w:val="000000"/>
          <w:sz w:val="28"/>
          <w:szCs w:val="28"/>
        </w:rPr>
        <w:t>вже була предметом розгляду Комісією.</w:t>
      </w:r>
    </w:p>
    <w:p w14:paraId="5AE7F688" w14:textId="77777777" w:rsidR="002468DA" w:rsidRDefault="00000000">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ab/>
        <w:t>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FE994C1" w14:textId="77777777" w:rsidR="002468DA" w:rsidRDefault="00000000">
      <w:pPr>
        <w:tabs>
          <w:tab w:val="left" w:pos="567"/>
        </w:tabs>
        <w:spacing w:after="0" w:line="240" w:lineRule="auto"/>
        <w:ind w:firstLine="567"/>
        <w:jc w:val="both"/>
        <w:rPr>
          <w:rFonts w:ascii="Times New Roman" w:hAnsi="Times New Roman"/>
          <w:i/>
          <w:iCs/>
          <w:color w:val="000000" w:themeColor="text1"/>
          <w:sz w:val="28"/>
          <w:szCs w:val="28"/>
        </w:rPr>
      </w:pPr>
      <w:bookmarkStart w:id="2" w:name="_Hlk211328925"/>
      <w:bookmarkStart w:id="3" w:name="_Hlk211326638"/>
      <w:r>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Pr>
          <w:rFonts w:ascii="Times New Roman" w:hAnsi="Times New Roman"/>
          <w:i/>
          <w:iCs/>
          <w:color w:val="000000" w:themeColor="text1"/>
          <w:sz w:val="28"/>
          <w:szCs w:val="28"/>
        </w:rPr>
        <w:t>(постанова Великої Палати Верховного Суду від 02.10.2018 у справі № 800/433/17).</w:t>
      </w:r>
    </w:p>
    <w:p w14:paraId="0EFC5F52" w14:textId="77777777" w:rsidR="002468DA" w:rsidRDefault="00000000">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bookmarkEnd w:id="2"/>
      <w:r>
        <w:rPr>
          <w:rFonts w:ascii="Times New Roman" w:hAnsi="Times New Roman"/>
          <w:color w:val="000000" w:themeColor="text1"/>
          <w:sz w:val="28"/>
          <w:szCs w:val="28"/>
        </w:rPr>
        <w:t xml:space="preserve">      </w:t>
      </w:r>
    </w:p>
    <w:p w14:paraId="02E190E7" w14:textId="77777777" w:rsidR="002468DA" w:rsidRDefault="00000000">
      <w:pPr>
        <w:tabs>
          <w:tab w:val="left" w:pos="567"/>
        </w:tabs>
        <w:spacing w:after="0" w:line="240" w:lineRule="auto"/>
        <w:ind w:firstLine="567"/>
        <w:jc w:val="both"/>
        <w:rPr>
          <w:rFonts w:ascii="Times New Roman" w:hAnsi="Times New Roman"/>
          <w:color w:val="000000" w:themeColor="text1"/>
          <w:sz w:val="28"/>
          <w:szCs w:val="28"/>
        </w:rPr>
      </w:pPr>
      <w:bookmarkStart w:id="4" w:name="_Hlk211328971"/>
      <w:bookmarkEnd w:id="3"/>
      <w:r>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прокурором Власенко Н.В. своїх службових обов’язків. </w:t>
      </w:r>
      <w:bookmarkStart w:id="5" w:name="_Hlk211326717"/>
      <w:bookmarkEnd w:id="4"/>
    </w:p>
    <w:bookmarkEnd w:id="5"/>
    <w:p w14:paraId="2280A5AB" w14:textId="77777777" w:rsidR="002468DA" w:rsidRDefault="00000000">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3C6049FF" w14:textId="77777777" w:rsidR="002468DA" w:rsidRDefault="00000000">
      <w:pPr>
        <w:tabs>
          <w:tab w:val="left" w:pos="567"/>
        </w:tabs>
        <w:spacing w:after="0" w:line="240" w:lineRule="auto"/>
        <w:jc w:val="both"/>
        <w:rPr>
          <w:rFonts w:ascii="Times New Roman" w:hAnsi="Times New Roman"/>
          <w:color w:val="000000" w:themeColor="text1"/>
          <w:sz w:val="28"/>
          <w:szCs w:val="28"/>
          <w:lang w:val="en-US"/>
        </w:rPr>
      </w:pPr>
      <w:r>
        <w:rPr>
          <w:rFonts w:ascii="Times New Roman" w:hAnsi="Times New Roman"/>
          <w:color w:val="000000" w:themeColor="text1"/>
          <w:sz w:val="28"/>
          <w:szCs w:val="28"/>
        </w:rPr>
        <w:tab/>
      </w:r>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Доводи скаржника фактично зводяться до незгоди з процесуальними рішеннями та діями прокурора, вчиненими у межах здійснення процесуального керівництва досудовим розслідуванням у кримінальному провадженні. Вказані обставини самі по собі не можуть свідчити про наявність у діях прокурора ознак дисциплінарного проступку, оскільки питання законності та обґрунтованості таких рішень підлягають вирішенню виключно в межах кримінального провадження у порядку, встановленому КПК України.</w:t>
      </w:r>
    </w:p>
    <w:p w14:paraId="550380F2" w14:textId="77777777" w:rsidR="002468DA" w:rsidRDefault="00000000">
      <w:pPr>
        <w:tabs>
          <w:tab w:val="left" w:pos="567"/>
        </w:tabs>
        <w:spacing w:after="0" w:line="240" w:lineRule="auto"/>
        <w:ind w:firstLine="709"/>
        <w:jc w:val="both"/>
        <w:rPr>
          <w:rFonts w:ascii="Times New Roman" w:hAnsi="Times New Roman"/>
          <w:color w:val="000000" w:themeColor="text1"/>
          <w:sz w:val="28"/>
          <w:szCs w:val="28"/>
          <w:lang w:val="en-US"/>
        </w:rPr>
      </w:pPr>
      <w:r>
        <w:rPr>
          <w:rFonts w:ascii="Times New Roman" w:hAnsi="Times New Roman"/>
          <w:color w:val="000000" w:themeColor="text1"/>
          <w:sz w:val="28"/>
          <w:szCs w:val="28"/>
        </w:rPr>
        <w:t>Член Комісії критично оцінює доводи скаржника щодо покладення прокурором в основу обвинувачення висновку експертизи, у якій, на його думку, експерт вийшов за межі своїх спеціальних знань</w:t>
      </w:r>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 xml:space="preserve">та зробив експертизу зі значним порушенням методики. Незгода скаржника з оцінкою прокурором доказів, у тому числі висновку експерта, та прийнятими у кримінальному провадженні процесуальними рішеннями сама по собі не свідчить про невиконання чи неналежне виконання прокурором службових обов’язків і не може </w:t>
      </w:r>
      <w:r>
        <w:rPr>
          <w:rFonts w:ascii="Times New Roman" w:hAnsi="Times New Roman"/>
          <w:color w:val="000000" w:themeColor="text1"/>
          <w:sz w:val="28"/>
          <w:szCs w:val="28"/>
        </w:rPr>
        <w:lastRenderedPageBreak/>
        <w:t>розцінюватися як підстава для притягнення його до дисциплінарної відповідальності.</w:t>
      </w:r>
    </w:p>
    <w:p w14:paraId="02769E6E" w14:textId="77777777" w:rsidR="002468DA" w:rsidRDefault="00000000">
      <w:pPr>
        <w:spacing w:after="0" w:line="240" w:lineRule="auto"/>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Незгода учасників кримінального провадження</w:t>
      </w:r>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або інших суб’єктів (фізичних чи юридичних осіб)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1BA8A5A0" w14:textId="77777777" w:rsidR="002468DA" w:rsidRDefault="00000000">
      <w:pPr>
        <w:spacing w:after="0" w:line="240" w:lineRule="auto"/>
        <w:ind w:firstLine="709"/>
        <w:jc w:val="both"/>
        <w:rPr>
          <w:rFonts w:ascii="Times New Roman" w:hAnsi="Times New Roman"/>
          <w:color w:val="000000" w:themeColor="text1"/>
          <w:sz w:val="28"/>
          <w:szCs w:val="28"/>
          <w:lang w:val="en-US"/>
        </w:rPr>
      </w:pPr>
      <w:r>
        <w:rPr>
          <w:rFonts w:ascii="Times New Roman" w:hAnsi="Times New Roman"/>
          <w:color w:val="000000" w:themeColor="text1"/>
          <w:sz w:val="28"/>
          <w:szCs w:val="28"/>
        </w:rPr>
        <w:t xml:space="preserve">Також Член Комісії критично оцінює посилання скаржника на нібито обмеження його у часі під час ознайомлення з матеріалами кримінального провадження, оскільки наведені доводи фактично стосуються порядку здійснення процесуальних дій у межах кримінального провадження. </w:t>
      </w:r>
    </w:p>
    <w:p w14:paraId="2FE69F6E" w14:textId="77777777" w:rsidR="002468DA" w:rsidRDefault="00000000">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Pr>
          <w:rFonts w:ascii="Times New Roman" w:hAnsi="Times New Roman"/>
          <w:color w:val="000000" w:themeColor="text1"/>
          <w:sz w:val="28"/>
          <w:szCs w:val="28"/>
        </w:rPr>
        <w:t>обстоюючи свої правові позиції</w:t>
      </w:r>
      <w:r>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3D7F0133" w14:textId="77777777" w:rsidR="002468DA" w:rsidRDefault="00000000">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частини першої статті 45 Закону № 1697</w:t>
      </w:r>
      <w:r>
        <w:rPr>
          <w:rFonts w:ascii="Times New Roman" w:hAnsi="Times New Roman"/>
          <w:color w:val="000000" w:themeColor="text1"/>
          <w:sz w:val="28"/>
          <w:szCs w:val="28"/>
        </w:rPr>
        <w:noBreakHyphen/>
        <w:t>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 незгода заявника з процесуальними рішеннями прокурора не є підставою для відкриття дисциплінарного провадження.</w:t>
      </w:r>
    </w:p>
    <w:p w14:paraId="4C5DCAE2" w14:textId="77777777" w:rsidR="002468DA" w:rsidRDefault="00000000">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пункту 62 Положення про порядок роботи відповідного органу, що здійснює дисциплінарне провадження, рішення не можна приймати на підставі припущень, неперевіреної чи недостовірної інформації.</w:t>
      </w:r>
    </w:p>
    <w:p w14:paraId="453D1346" w14:textId="77777777" w:rsidR="002468DA" w:rsidRDefault="00000000">
      <w:pPr>
        <w:widowControl w:val="0"/>
        <w:pBdr>
          <w:bottom w:val="single" w:sz="12" w:space="12" w:color="FFFFFF"/>
        </w:pBdr>
        <w:spacing w:after="0" w:line="240" w:lineRule="auto"/>
        <w:ind w:firstLine="567"/>
        <w:jc w:val="both"/>
        <w:rPr>
          <w:rStyle w:val="a3"/>
          <w:i w:val="0"/>
          <w:color w:val="000000" w:themeColor="text1"/>
          <w:shd w:val="clear" w:color="auto" w:fill="FFFFFF"/>
        </w:rPr>
      </w:pPr>
      <w:r>
        <w:rPr>
          <w:rFonts w:ascii="Times New Roman" w:hAnsi="Times New Roman"/>
          <w:color w:val="000000" w:themeColor="text1"/>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Власенко Н.В. </w:t>
      </w:r>
    </w:p>
    <w:p w14:paraId="53192FBB" w14:textId="77777777" w:rsidR="002468DA" w:rsidRDefault="00000000">
      <w:pPr>
        <w:widowControl w:val="0"/>
        <w:pBdr>
          <w:bottom w:val="single" w:sz="12" w:space="12" w:color="FFFFFF"/>
        </w:pBdr>
        <w:spacing w:after="0" w:line="240" w:lineRule="auto"/>
        <w:ind w:firstLine="709"/>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084907D5" w14:textId="77777777" w:rsidR="002468DA" w:rsidRDefault="00000000">
      <w:pPr>
        <w:widowControl w:val="0"/>
        <w:tabs>
          <w:tab w:val="left" w:pos="851"/>
        </w:tabs>
        <w:spacing w:after="240" w:line="240" w:lineRule="auto"/>
        <w:ind w:firstLine="567"/>
        <w:contextualSpacing/>
        <w:jc w:val="center"/>
        <w:rPr>
          <w:rFonts w:ascii="Times New Roman" w:hAnsi="Times New Roman"/>
          <w:b/>
          <w:sz w:val="28"/>
          <w:szCs w:val="28"/>
        </w:rPr>
      </w:pPr>
      <w:r>
        <w:rPr>
          <w:rFonts w:ascii="Times New Roman" w:hAnsi="Times New Roman"/>
          <w:b/>
          <w:sz w:val="28"/>
          <w:szCs w:val="28"/>
        </w:rPr>
        <w:t>ВИРІШИЛА:</w:t>
      </w:r>
    </w:p>
    <w:p w14:paraId="74BE2342" w14:textId="77777777" w:rsidR="002468DA" w:rsidRDefault="002468DA">
      <w:pPr>
        <w:widowControl w:val="0"/>
        <w:tabs>
          <w:tab w:val="left" w:pos="851"/>
        </w:tabs>
        <w:spacing w:after="240" w:line="240" w:lineRule="auto"/>
        <w:ind w:firstLine="567"/>
        <w:contextualSpacing/>
        <w:jc w:val="center"/>
        <w:rPr>
          <w:rFonts w:ascii="Times New Roman" w:hAnsi="Times New Roman"/>
          <w:b/>
          <w:sz w:val="12"/>
          <w:szCs w:val="12"/>
        </w:rPr>
      </w:pPr>
    </w:p>
    <w:p w14:paraId="3D5B939D" w14:textId="77777777" w:rsidR="002468DA" w:rsidRDefault="000000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Лівобережної окружної прокуратури міста Дніпра Власенко Н.В. </w:t>
      </w:r>
    </w:p>
    <w:p w14:paraId="7D3AB297" w14:textId="77777777" w:rsidR="002468DA" w:rsidRDefault="000000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Копію рішення направити скаржнику та вищезгаданому прокурору.</w:t>
      </w:r>
    </w:p>
    <w:p w14:paraId="4FE252C6" w14:textId="77777777" w:rsidR="002468DA" w:rsidRDefault="002468DA">
      <w:pPr>
        <w:widowControl w:val="0"/>
        <w:tabs>
          <w:tab w:val="left" w:pos="851"/>
        </w:tabs>
        <w:spacing w:after="0" w:line="240" w:lineRule="auto"/>
        <w:contextualSpacing/>
        <w:jc w:val="both"/>
        <w:rPr>
          <w:rFonts w:ascii="Times New Roman" w:hAnsi="Times New Roman"/>
          <w:sz w:val="24"/>
          <w:szCs w:val="24"/>
        </w:rPr>
      </w:pPr>
    </w:p>
    <w:p w14:paraId="388E62F3" w14:textId="77777777" w:rsidR="002468DA" w:rsidRDefault="002468DA">
      <w:pPr>
        <w:widowControl w:val="0"/>
        <w:tabs>
          <w:tab w:val="left" w:pos="851"/>
        </w:tabs>
        <w:spacing w:after="0" w:line="240" w:lineRule="auto"/>
        <w:contextualSpacing/>
        <w:jc w:val="both"/>
        <w:rPr>
          <w:rFonts w:ascii="Times New Roman" w:hAnsi="Times New Roman"/>
          <w:sz w:val="24"/>
          <w:szCs w:val="24"/>
        </w:rPr>
      </w:pPr>
    </w:p>
    <w:p w14:paraId="4976E921" w14:textId="77777777" w:rsidR="002468DA" w:rsidRDefault="00000000">
      <w:pPr>
        <w:widowControl w:val="0"/>
        <w:tabs>
          <w:tab w:val="left" w:pos="851"/>
        </w:tabs>
        <w:spacing w:after="0"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sectPr w:rsidR="002468DA">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CD69" w14:textId="77777777" w:rsidR="00F37D3A" w:rsidRDefault="00F37D3A">
      <w:pPr>
        <w:spacing w:line="240" w:lineRule="auto"/>
      </w:pPr>
      <w:r>
        <w:separator/>
      </w:r>
    </w:p>
  </w:endnote>
  <w:endnote w:type="continuationSeparator" w:id="0">
    <w:p w14:paraId="173A6F1A" w14:textId="77777777" w:rsidR="00F37D3A" w:rsidRDefault="00F37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57EA" w14:textId="77777777" w:rsidR="00F37D3A" w:rsidRDefault="00F37D3A">
      <w:pPr>
        <w:spacing w:after="0"/>
      </w:pPr>
      <w:r>
        <w:separator/>
      </w:r>
    </w:p>
  </w:footnote>
  <w:footnote w:type="continuationSeparator" w:id="0">
    <w:p w14:paraId="0892DF7D" w14:textId="77777777" w:rsidR="00F37D3A" w:rsidRDefault="00F37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390CD699" w14:textId="77777777" w:rsidR="002468DA" w:rsidRDefault="00000000">
        <w:pPr>
          <w:pStyle w:val="a6"/>
          <w:jc w:val="center"/>
        </w:pPr>
        <w:r>
          <w:fldChar w:fldCharType="begin"/>
        </w:r>
        <w:r>
          <w:instrText>PAGE   \* MERGEFORMAT</w:instrText>
        </w:r>
        <w:r>
          <w:fldChar w:fldCharType="separate"/>
        </w:r>
        <w:r>
          <w:t>5</w:t>
        </w:r>
        <w:r>
          <w:fldChar w:fldCharType="end"/>
        </w:r>
      </w:p>
    </w:sdtContent>
  </w:sdt>
  <w:p w14:paraId="3C9182E0" w14:textId="77777777" w:rsidR="002468DA" w:rsidRDefault="002468D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652B"/>
    <w:rsid w:val="00042A08"/>
    <w:rsid w:val="00042B7D"/>
    <w:rsid w:val="00042CEA"/>
    <w:rsid w:val="0005367E"/>
    <w:rsid w:val="000556CC"/>
    <w:rsid w:val="0008253E"/>
    <w:rsid w:val="000825C3"/>
    <w:rsid w:val="000A11DE"/>
    <w:rsid w:val="000A6CC2"/>
    <w:rsid w:val="000B5860"/>
    <w:rsid w:val="000C69A2"/>
    <w:rsid w:val="000D67B3"/>
    <w:rsid w:val="000E33F3"/>
    <w:rsid w:val="0011462D"/>
    <w:rsid w:val="00123BB4"/>
    <w:rsid w:val="001315A7"/>
    <w:rsid w:val="00136EB1"/>
    <w:rsid w:val="00146A13"/>
    <w:rsid w:val="00180E23"/>
    <w:rsid w:val="00186A38"/>
    <w:rsid w:val="001C5B26"/>
    <w:rsid w:val="001D542A"/>
    <w:rsid w:val="001E6368"/>
    <w:rsid w:val="001F5705"/>
    <w:rsid w:val="0021745E"/>
    <w:rsid w:val="002468DA"/>
    <w:rsid w:val="002513E1"/>
    <w:rsid w:val="00252E56"/>
    <w:rsid w:val="00256000"/>
    <w:rsid w:val="00262A2B"/>
    <w:rsid w:val="002759DA"/>
    <w:rsid w:val="002A2F72"/>
    <w:rsid w:val="002A5810"/>
    <w:rsid w:val="002A72BD"/>
    <w:rsid w:val="002C3AF5"/>
    <w:rsid w:val="00310B8D"/>
    <w:rsid w:val="00310BF7"/>
    <w:rsid w:val="003146E3"/>
    <w:rsid w:val="003159CD"/>
    <w:rsid w:val="00316F91"/>
    <w:rsid w:val="003268B8"/>
    <w:rsid w:val="0032710C"/>
    <w:rsid w:val="00336F0A"/>
    <w:rsid w:val="0034042A"/>
    <w:rsid w:val="003457E9"/>
    <w:rsid w:val="00346553"/>
    <w:rsid w:val="00351DDA"/>
    <w:rsid w:val="00377FA1"/>
    <w:rsid w:val="00383F6E"/>
    <w:rsid w:val="003858A8"/>
    <w:rsid w:val="00385BAE"/>
    <w:rsid w:val="00391AEB"/>
    <w:rsid w:val="003B7433"/>
    <w:rsid w:val="003C6C4E"/>
    <w:rsid w:val="003D6DE5"/>
    <w:rsid w:val="003F4848"/>
    <w:rsid w:val="00407178"/>
    <w:rsid w:val="00425286"/>
    <w:rsid w:val="0042715D"/>
    <w:rsid w:val="004271C5"/>
    <w:rsid w:val="00436C06"/>
    <w:rsid w:val="00453412"/>
    <w:rsid w:val="00455646"/>
    <w:rsid w:val="00466FD2"/>
    <w:rsid w:val="004714E4"/>
    <w:rsid w:val="00477934"/>
    <w:rsid w:val="004A0B0E"/>
    <w:rsid w:val="004A7DDA"/>
    <w:rsid w:val="004C7020"/>
    <w:rsid w:val="004C7CE6"/>
    <w:rsid w:val="004C7D84"/>
    <w:rsid w:val="005152D5"/>
    <w:rsid w:val="005159EF"/>
    <w:rsid w:val="0052788A"/>
    <w:rsid w:val="00554F8A"/>
    <w:rsid w:val="00581F18"/>
    <w:rsid w:val="00585984"/>
    <w:rsid w:val="005D5674"/>
    <w:rsid w:val="005D7867"/>
    <w:rsid w:val="005E2324"/>
    <w:rsid w:val="00602FCF"/>
    <w:rsid w:val="00605A95"/>
    <w:rsid w:val="00614128"/>
    <w:rsid w:val="00626870"/>
    <w:rsid w:val="00630B4D"/>
    <w:rsid w:val="00632122"/>
    <w:rsid w:val="0063693D"/>
    <w:rsid w:val="006409AC"/>
    <w:rsid w:val="00643FB6"/>
    <w:rsid w:val="006649F0"/>
    <w:rsid w:val="00673D5A"/>
    <w:rsid w:val="00675DBB"/>
    <w:rsid w:val="00677EB9"/>
    <w:rsid w:val="006877E8"/>
    <w:rsid w:val="00695B1F"/>
    <w:rsid w:val="006A0C9B"/>
    <w:rsid w:val="006C7454"/>
    <w:rsid w:val="00700E34"/>
    <w:rsid w:val="0071333A"/>
    <w:rsid w:val="00736165"/>
    <w:rsid w:val="00747183"/>
    <w:rsid w:val="007509C9"/>
    <w:rsid w:val="0075605D"/>
    <w:rsid w:val="00760555"/>
    <w:rsid w:val="00761472"/>
    <w:rsid w:val="00776042"/>
    <w:rsid w:val="007914EC"/>
    <w:rsid w:val="007A3B58"/>
    <w:rsid w:val="007B60F0"/>
    <w:rsid w:val="007E0C6B"/>
    <w:rsid w:val="007E0F6D"/>
    <w:rsid w:val="007F3358"/>
    <w:rsid w:val="007F39A5"/>
    <w:rsid w:val="00803C7A"/>
    <w:rsid w:val="00814875"/>
    <w:rsid w:val="00826875"/>
    <w:rsid w:val="00834D11"/>
    <w:rsid w:val="0084360A"/>
    <w:rsid w:val="00864870"/>
    <w:rsid w:val="008854CA"/>
    <w:rsid w:val="008A38F4"/>
    <w:rsid w:val="008C15C4"/>
    <w:rsid w:val="008C2B80"/>
    <w:rsid w:val="008C2E7E"/>
    <w:rsid w:val="008E4740"/>
    <w:rsid w:val="00900900"/>
    <w:rsid w:val="00901D35"/>
    <w:rsid w:val="00927DC8"/>
    <w:rsid w:val="00953A58"/>
    <w:rsid w:val="00953D39"/>
    <w:rsid w:val="009552A0"/>
    <w:rsid w:val="00967D53"/>
    <w:rsid w:val="0097259D"/>
    <w:rsid w:val="00973E57"/>
    <w:rsid w:val="0097603C"/>
    <w:rsid w:val="009768E5"/>
    <w:rsid w:val="009B5339"/>
    <w:rsid w:val="009B6263"/>
    <w:rsid w:val="009C21D2"/>
    <w:rsid w:val="009C7388"/>
    <w:rsid w:val="009E1249"/>
    <w:rsid w:val="009E519F"/>
    <w:rsid w:val="009E74AA"/>
    <w:rsid w:val="009F031B"/>
    <w:rsid w:val="009F588E"/>
    <w:rsid w:val="00A0086A"/>
    <w:rsid w:val="00A10D5F"/>
    <w:rsid w:val="00A13164"/>
    <w:rsid w:val="00A21B5C"/>
    <w:rsid w:val="00A23D36"/>
    <w:rsid w:val="00A24FA4"/>
    <w:rsid w:val="00A27434"/>
    <w:rsid w:val="00A41D4B"/>
    <w:rsid w:val="00A5619B"/>
    <w:rsid w:val="00A5719D"/>
    <w:rsid w:val="00A6332C"/>
    <w:rsid w:val="00A71557"/>
    <w:rsid w:val="00A9229B"/>
    <w:rsid w:val="00A9274A"/>
    <w:rsid w:val="00AA00B7"/>
    <w:rsid w:val="00AA5BE3"/>
    <w:rsid w:val="00AD0298"/>
    <w:rsid w:val="00AE09A1"/>
    <w:rsid w:val="00AE6D9D"/>
    <w:rsid w:val="00AF39DA"/>
    <w:rsid w:val="00B0305B"/>
    <w:rsid w:val="00B03CED"/>
    <w:rsid w:val="00B05764"/>
    <w:rsid w:val="00B101EC"/>
    <w:rsid w:val="00B10E33"/>
    <w:rsid w:val="00B200EC"/>
    <w:rsid w:val="00B3035E"/>
    <w:rsid w:val="00B34250"/>
    <w:rsid w:val="00B4595A"/>
    <w:rsid w:val="00B540C4"/>
    <w:rsid w:val="00B56772"/>
    <w:rsid w:val="00B60933"/>
    <w:rsid w:val="00B61494"/>
    <w:rsid w:val="00B65315"/>
    <w:rsid w:val="00B72265"/>
    <w:rsid w:val="00B7363C"/>
    <w:rsid w:val="00B7391B"/>
    <w:rsid w:val="00B77276"/>
    <w:rsid w:val="00B87B93"/>
    <w:rsid w:val="00B9779B"/>
    <w:rsid w:val="00BD75BD"/>
    <w:rsid w:val="00BF2880"/>
    <w:rsid w:val="00BF3E99"/>
    <w:rsid w:val="00BF544B"/>
    <w:rsid w:val="00C11AF4"/>
    <w:rsid w:val="00C12258"/>
    <w:rsid w:val="00C27FF5"/>
    <w:rsid w:val="00C467A1"/>
    <w:rsid w:val="00C46949"/>
    <w:rsid w:val="00C54C40"/>
    <w:rsid w:val="00C56E77"/>
    <w:rsid w:val="00C62000"/>
    <w:rsid w:val="00C62DC7"/>
    <w:rsid w:val="00C721C0"/>
    <w:rsid w:val="00C82CB6"/>
    <w:rsid w:val="00C853CC"/>
    <w:rsid w:val="00C86F8D"/>
    <w:rsid w:val="00C877A3"/>
    <w:rsid w:val="00C879FE"/>
    <w:rsid w:val="00C87AFC"/>
    <w:rsid w:val="00C902DB"/>
    <w:rsid w:val="00C95BCF"/>
    <w:rsid w:val="00CB51B7"/>
    <w:rsid w:val="00CB68AB"/>
    <w:rsid w:val="00CC05AC"/>
    <w:rsid w:val="00CD10F0"/>
    <w:rsid w:val="00CD1AAA"/>
    <w:rsid w:val="00CD43AB"/>
    <w:rsid w:val="00CD6CFF"/>
    <w:rsid w:val="00CF0A3F"/>
    <w:rsid w:val="00D019EA"/>
    <w:rsid w:val="00D034B7"/>
    <w:rsid w:val="00D05EB7"/>
    <w:rsid w:val="00D10EB4"/>
    <w:rsid w:val="00D1153D"/>
    <w:rsid w:val="00D16511"/>
    <w:rsid w:val="00D2229C"/>
    <w:rsid w:val="00D24B12"/>
    <w:rsid w:val="00D256E3"/>
    <w:rsid w:val="00D36E84"/>
    <w:rsid w:val="00D441FD"/>
    <w:rsid w:val="00D52174"/>
    <w:rsid w:val="00D61736"/>
    <w:rsid w:val="00D745DC"/>
    <w:rsid w:val="00D84DF1"/>
    <w:rsid w:val="00D937FF"/>
    <w:rsid w:val="00D957AB"/>
    <w:rsid w:val="00DB35A2"/>
    <w:rsid w:val="00DB775C"/>
    <w:rsid w:val="00DD2E2D"/>
    <w:rsid w:val="00DD7818"/>
    <w:rsid w:val="00DE045A"/>
    <w:rsid w:val="00DF7532"/>
    <w:rsid w:val="00E230E2"/>
    <w:rsid w:val="00E23D4A"/>
    <w:rsid w:val="00E2546E"/>
    <w:rsid w:val="00E340A6"/>
    <w:rsid w:val="00E527E4"/>
    <w:rsid w:val="00E62B44"/>
    <w:rsid w:val="00E6645A"/>
    <w:rsid w:val="00EA36BC"/>
    <w:rsid w:val="00EC3332"/>
    <w:rsid w:val="00EC655C"/>
    <w:rsid w:val="00EC7A01"/>
    <w:rsid w:val="00ED2549"/>
    <w:rsid w:val="00ED3450"/>
    <w:rsid w:val="00EE44E3"/>
    <w:rsid w:val="00F016D5"/>
    <w:rsid w:val="00F21CEA"/>
    <w:rsid w:val="00F225A8"/>
    <w:rsid w:val="00F23569"/>
    <w:rsid w:val="00F24ED9"/>
    <w:rsid w:val="00F279ED"/>
    <w:rsid w:val="00F31729"/>
    <w:rsid w:val="00F321A7"/>
    <w:rsid w:val="00F32F73"/>
    <w:rsid w:val="00F37D3A"/>
    <w:rsid w:val="00F43BBC"/>
    <w:rsid w:val="00F4533B"/>
    <w:rsid w:val="00F4691D"/>
    <w:rsid w:val="00F66B01"/>
    <w:rsid w:val="00FA2FED"/>
    <w:rsid w:val="00FA4C07"/>
    <w:rsid w:val="00FB1F30"/>
    <w:rsid w:val="00FC2AC4"/>
    <w:rsid w:val="00FC33E1"/>
    <w:rsid w:val="00FC46AA"/>
    <w:rsid w:val="00FC58CB"/>
    <w:rsid w:val="00FD307E"/>
    <w:rsid w:val="00FD72D6"/>
    <w:rsid w:val="00FE2156"/>
    <w:rsid w:val="00FE2F41"/>
    <w:rsid w:val="00FF1951"/>
    <w:rsid w:val="00FF326F"/>
    <w:rsid w:val="00FF6A29"/>
    <w:rsid w:val="2B4A5207"/>
    <w:rsid w:val="33A539F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1553"/>
  <w15:docId w15:val="{31BA5A27-7083-4562-8C0A-99B0D2A0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qFormat/>
    <w:pPr>
      <w:tabs>
        <w:tab w:val="center" w:pos="4677"/>
        <w:tab w:val="right" w:pos="9355"/>
      </w:tabs>
      <w:spacing w:after="0" w:line="240" w:lineRule="auto"/>
    </w:pPr>
  </w:style>
  <w:style w:type="character" w:styleId="a8">
    <w:name w:val="Hyperlink"/>
    <w:basedOn w:val="a0"/>
    <w:uiPriority w:val="99"/>
    <w:unhideWhenUsed/>
    <w:qFormat/>
    <w:rPr>
      <w:color w:val="0000FF"/>
      <w:u w:val="single"/>
    </w:rPr>
  </w:style>
  <w:style w:type="paragraph" w:styleId="a9">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a">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qFormat/>
    <w:rPr>
      <w:rFonts w:ascii="Calibri" w:eastAsia="Calibri" w:hAnsi="Calibri" w:cs="Times New Roman"/>
      <w:sz w:val="22"/>
    </w:rPr>
  </w:style>
  <w:style w:type="character" w:customStyle="1" w:styleId="1">
    <w:name w:val="Незакрита згадка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7829</Words>
  <Characters>4464</Characters>
  <DocSecurity>0</DocSecurity>
  <Lines>37</Lines>
  <Paragraphs>24</Paragraphs>
  <ScaleCrop>false</ScaleCrop>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2026-03-09T13:55:00Z</cp:lastPrinted>
  <dcterms:created xsi:type="dcterms:W3CDTF">2025-10-23T07:52:00Z</dcterms:created>
  <dcterms:modified xsi:type="dcterms:W3CDTF">2026-03-20T14:02:00Z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